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CB6" w:rsidRDefault="00D07CB6" w:rsidP="00D07CB6">
      <w:pPr>
        <w:pStyle w:val="ETASRpapertitle"/>
      </w:pPr>
      <w:bookmarkStart w:id="0" w:name="OLE_LINK31"/>
      <w:bookmarkStart w:id="1" w:name="OLE_LINK41"/>
      <w:bookmarkStart w:id="2" w:name="OLE_LINK58"/>
      <w:bookmarkStart w:id="3" w:name="OLE_LINK69"/>
      <w:bookmarkStart w:id="4" w:name="OLE_LINK1"/>
      <w:bookmarkStart w:id="5" w:name="OLE_LINK2"/>
      <w:r w:rsidRPr="003F65C9">
        <w:t xml:space="preserve">Comparison the </w:t>
      </w:r>
      <w:r w:rsidRPr="00057168">
        <w:rPr>
          <w:vertAlign w:val="superscript"/>
        </w:rPr>
        <w:t>222-</w:t>
      </w:r>
      <w:r w:rsidRPr="003F65C9">
        <w:t>Rn Gas and there Exhalation between Depth and Surface Formation Soil</w:t>
      </w:r>
      <w:bookmarkEnd w:id="0"/>
      <w:bookmarkEnd w:id="1"/>
      <w:bookmarkEnd w:id="2"/>
      <w:bookmarkEnd w:id="3"/>
    </w:p>
    <w:p w:rsidR="00D07CB6" w:rsidRPr="003F65C9" w:rsidRDefault="00D07CB6" w:rsidP="007D6C50">
      <w:pPr>
        <w:pStyle w:val="ETASRpapertitle"/>
        <w:sectPr w:rsidR="00D07CB6" w:rsidRPr="003F65C9" w:rsidSect="00D07CB6">
          <w:headerReference w:type="default" r:id="rId8"/>
          <w:footerReference w:type="default" r:id="rId9"/>
          <w:type w:val="continuous"/>
          <w:pgSz w:w="12240" w:h="15840"/>
          <w:pgMar w:top="1004" w:right="1004" w:bottom="1004" w:left="1004" w:header="567" w:footer="567" w:gutter="0"/>
          <w:cols w:space="720"/>
          <w:docGrid w:linePitch="360"/>
        </w:sectPr>
      </w:pPr>
      <w:bookmarkStart w:id="6" w:name="OLE_LINK3"/>
      <w:bookmarkStart w:id="7" w:name="OLE_LINK4"/>
      <w:bookmarkEnd w:id="4"/>
      <w:bookmarkEnd w:id="5"/>
      <w:r>
        <w:rPr>
          <w:rFonts w:ascii="TTE2t00" w:hAnsi="TTE2t00" w:cs="TTE2t00"/>
          <w:sz w:val="27"/>
          <w:szCs w:val="27"/>
        </w:rPr>
        <w:t>A Case Study in Tawk</w:t>
      </w:r>
      <w:r w:rsidR="007D6C50">
        <w:rPr>
          <w:rFonts w:ascii="TTE2t00" w:hAnsi="TTE2t00" w:cs="TTE2t00"/>
          <w:sz w:val="27"/>
          <w:szCs w:val="27"/>
        </w:rPr>
        <w:t>e</w:t>
      </w:r>
      <w:r>
        <w:rPr>
          <w:rFonts w:ascii="TTE2t00" w:hAnsi="TTE2t00" w:cs="TTE2t00"/>
          <w:sz w:val="27"/>
          <w:szCs w:val="27"/>
        </w:rPr>
        <w:t>,Duhok, North of Iraq</w:t>
      </w:r>
    </w:p>
    <w:p w:rsidR="00D07CB6" w:rsidRPr="003F65C9" w:rsidRDefault="00D07CB6" w:rsidP="00D07CB6">
      <w:pPr>
        <w:pStyle w:val="ETASRAuthor"/>
        <w:contextualSpacing/>
        <w:jc w:val="left"/>
      </w:pPr>
      <w:bookmarkStart w:id="8" w:name="OLE_LINK14"/>
      <w:bookmarkStart w:id="9" w:name="OLE_LINK15"/>
      <w:bookmarkEnd w:id="6"/>
      <w:bookmarkEnd w:id="7"/>
      <w:r w:rsidRPr="003F65C9">
        <w:lastRenderedPageBreak/>
        <w:t>Idrees Majeed Kareem</w:t>
      </w:r>
      <w:r w:rsidR="00044F62">
        <w:tab/>
      </w:r>
      <w:r w:rsidR="00044F62">
        <w:tab/>
        <w:t xml:space="preserve">      Lokman A Abdulkareem</w:t>
      </w:r>
      <w:r w:rsidR="00044F62">
        <w:tab/>
      </w:r>
      <w:r w:rsidR="00044F62">
        <w:tab/>
      </w:r>
      <w:r w:rsidR="00044F62">
        <w:tab/>
      </w:r>
      <w:r>
        <w:t>Hana I Hasan Al-Barudi</w:t>
      </w:r>
    </w:p>
    <w:p w:rsidR="00D07CB6" w:rsidRDefault="00D07CB6" w:rsidP="00D07CB6">
      <w:pPr>
        <w:pStyle w:val="ETASRAffiliation"/>
        <w:jc w:val="both"/>
      </w:pPr>
      <w:r w:rsidRPr="003F65C9">
        <w:t>Department of Radiation</w:t>
      </w:r>
      <w:r>
        <w:tab/>
      </w:r>
      <w:r>
        <w:tab/>
      </w:r>
      <w:r w:rsidRPr="003F65C9">
        <w:t>Depar</w:t>
      </w:r>
      <w:r>
        <w:t xml:space="preserve">tment of Petroleum Engineering  </w:t>
      </w:r>
      <w:r>
        <w:tab/>
      </w:r>
      <w:r>
        <w:tab/>
      </w:r>
      <w:r w:rsidRPr="003F65C9">
        <w:t xml:space="preserve">Department of Physics, </w:t>
      </w:r>
    </w:p>
    <w:p w:rsidR="00D07CB6" w:rsidRDefault="00D07CB6" w:rsidP="00D07CB6">
      <w:pPr>
        <w:pStyle w:val="ETASRAffiliation"/>
        <w:jc w:val="both"/>
      </w:pPr>
      <w:r w:rsidRPr="003F65C9">
        <w:t xml:space="preserve">Duhok Environment Office </w:t>
      </w:r>
      <w:r>
        <w:tab/>
      </w:r>
      <w:r>
        <w:tab/>
      </w:r>
      <w:r w:rsidRPr="003F65C9">
        <w:t xml:space="preserve">University of Zakho </w:t>
      </w:r>
      <w:r>
        <w:tab/>
      </w:r>
      <w:r>
        <w:tab/>
      </w:r>
      <w:r>
        <w:tab/>
      </w:r>
      <w:r w:rsidRPr="003F65C9">
        <w:t>University of Mosul</w:t>
      </w:r>
    </w:p>
    <w:p w:rsidR="00D07CB6" w:rsidRDefault="00D07CB6" w:rsidP="00D07CB6">
      <w:pPr>
        <w:pStyle w:val="ETASRAffiliation"/>
        <w:jc w:val="both"/>
      </w:pPr>
      <w:r w:rsidRPr="003F65C9">
        <w:t xml:space="preserve">Duhok city, Northern Iraq </w:t>
      </w:r>
      <w:r>
        <w:t xml:space="preserve"> </w:t>
      </w:r>
      <w:r>
        <w:tab/>
      </w:r>
      <w:r>
        <w:tab/>
      </w:r>
      <w:proofErr w:type="spellStart"/>
      <w:r w:rsidRPr="003F65C9">
        <w:t>Zakho</w:t>
      </w:r>
      <w:proofErr w:type="spellEnd"/>
      <w:r w:rsidRPr="003F65C9">
        <w:t xml:space="preserve"> city, </w:t>
      </w:r>
      <w:bookmarkStart w:id="10" w:name="OLE_LINK24"/>
      <w:bookmarkStart w:id="11" w:name="OLE_LINK25"/>
      <w:r w:rsidRPr="003F65C9">
        <w:t>Northern</w:t>
      </w:r>
      <w:bookmarkEnd w:id="10"/>
      <w:bookmarkEnd w:id="11"/>
      <w:r w:rsidRPr="003F65C9">
        <w:t xml:space="preserve"> Iraq</w:t>
      </w:r>
      <w:r>
        <w:t xml:space="preserve"> </w:t>
      </w:r>
      <w:r>
        <w:tab/>
      </w:r>
      <w:r>
        <w:tab/>
      </w:r>
      <w:r>
        <w:tab/>
      </w:r>
      <w:r w:rsidRPr="003F65C9">
        <w:t>Mosul city, Northern Iraq</w:t>
      </w:r>
    </w:p>
    <w:p w:rsidR="00D07CB6" w:rsidRPr="003F65C9" w:rsidRDefault="00306F73" w:rsidP="00D07CB6">
      <w:pPr>
        <w:pStyle w:val="ETASRAffiliation"/>
        <w:jc w:val="both"/>
      </w:pPr>
      <w:r>
        <w:t>E</w:t>
      </w:r>
      <w:r w:rsidR="00D07CB6" w:rsidRPr="003F65C9">
        <w:t xml:space="preserve">: </w:t>
      </w:r>
      <w:hyperlink r:id="rId10" w:history="1">
        <w:r w:rsidR="00D07CB6" w:rsidRPr="003F65C9">
          <w:t>idris.majeed@yahoo.com</w:t>
        </w:r>
      </w:hyperlink>
      <w:r w:rsidR="00D07CB6">
        <w:t xml:space="preserve">          </w:t>
      </w:r>
      <w:r>
        <w:t xml:space="preserve"> </w:t>
      </w:r>
      <w:r w:rsidR="00D07CB6" w:rsidRPr="003F65C9">
        <w:t xml:space="preserve">E: </w:t>
      </w:r>
      <w:hyperlink r:id="rId11" w:history="1">
        <w:r w:rsidR="00D07CB6" w:rsidRPr="00D07CB6">
          <w:t>lokman.abdulkareem@uoz.edu.krd</w:t>
        </w:r>
      </w:hyperlink>
      <w:r>
        <w:t xml:space="preserve">  </w:t>
      </w:r>
      <w:r>
        <w:tab/>
      </w:r>
      <w:r>
        <w:tab/>
      </w:r>
      <w:r w:rsidR="00D07CB6">
        <w:t xml:space="preserve">E: </w:t>
      </w:r>
      <w:r w:rsidR="00D07CB6" w:rsidRPr="003F65C9">
        <w:t>hana_hh200012@yahoo.com</w:t>
      </w:r>
      <w:r w:rsidR="00D07CB6">
        <w:tab/>
      </w:r>
    </w:p>
    <w:p w:rsidR="00D07CB6" w:rsidRDefault="00FD4153" w:rsidP="00D07CB6">
      <w:pPr>
        <w:pStyle w:val="ETASRAffiliation"/>
        <w:jc w:val="both"/>
        <w:sectPr w:rsidR="00D07CB6" w:rsidSect="00FC4366">
          <w:type w:val="continuous"/>
          <w:pgSz w:w="12240" w:h="15840"/>
          <w:pgMar w:top="1004" w:right="1004" w:bottom="1004" w:left="1004" w:header="567" w:footer="567" w:gutter="0"/>
          <w:cols w:space="720"/>
          <w:docGrid w:linePitch="360"/>
        </w:sectPr>
      </w:pPr>
      <w:r>
        <w:t>Phone</w:t>
      </w:r>
      <w:proofErr w:type="gramStart"/>
      <w:r>
        <w:t>:+</w:t>
      </w:r>
      <w:proofErr w:type="gramEnd"/>
      <w:r>
        <w:t>9647504505664</w:t>
      </w:r>
    </w:p>
    <w:bookmarkEnd w:id="8"/>
    <w:bookmarkEnd w:id="9"/>
    <w:p w:rsidR="00F86CE0" w:rsidRPr="0049138F" w:rsidRDefault="00F86CE0" w:rsidP="007D31B3">
      <w:pPr>
        <w:jc w:val="both"/>
        <w:sectPr w:rsidR="00F86CE0" w:rsidRPr="0049138F" w:rsidSect="00F86CE0">
          <w:headerReference w:type="default" r:id="rId12"/>
          <w:footerReference w:type="default" r:id="rId13"/>
          <w:type w:val="continuous"/>
          <w:pgSz w:w="12240" w:h="15840" w:code="1"/>
          <w:pgMar w:top="1080" w:right="893" w:bottom="1440" w:left="893" w:header="720" w:footer="720" w:gutter="0"/>
          <w:cols w:space="720"/>
          <w:docGrid w:linePitch="360"/>
        </w:sectPr>
      </w:pPr>
    </w:p>
    <w:p w:rsidR="00A40A08" w:rsidRPr="00A40A08" w:rsidRDefault="00A40A08" w:rsidP="00FD4153">
      <w:pPr>
        <w:pStyle w:val="ETASRbodytext"/>
        <w:ind w:firstLine="0"/>
        <w:sectPr w:rsidR="00A40A08" w:rsidRPr="00A40A08">
          <w:type w:val="continuous"/>
          <w:pgSz w:w="12240" w:h="15840" w:code="1"/>
          <w:pgMar w:top="1080" w:right="893" w:bottom="1440" w:left="893" w:header="720" w:footer="720" w:gutter="0"/>
          <w:cols w:space="720"/>
          <w:docGrid w:linePitch="360"/>
        </w:sectPr>
      </w:pPr>
    </w:p>
    <w:p w:rsidR="00087491" w:rsidRDefault="00087491" w:rsidP="00087491">
      <w:pPr>
        <w:pStyle w:val="ETASRAbstract"/>
      </w:pPr>
      <w:bookmarkStart w:id="12" w:name="OLE_LINK22"/>
      <w:bookmarkStart w:id="13" w:name="OLE_LINK23"/>
      <w:r w:rsidRPr="00087491">
        <w:rPr>
          <w:i/>
        </w:rPr>
        <w:lastRenderedPageBreak/>
        <w:t>Abstract</w:t>
      </w:r>
      <w:r w:rsidR="00FD1228" w:rsidRPr="0049138F">
        <w:t>—</w:t>
      </w:r>
      <w:r w:rsidRPr="00634D64">
        <w:t>In this study</w:t>
      </w:r>
      <w:proofErr w:type="gramStart"/>
      <w:r w:rsidRPr="00634D64">
        <w:t>,13</w:t>
      </w:r>
      <w:proofErr w:type="gramEnd"/>
      <w:r w:rsidRPr="00634D64">
        <w:t xml:space="preserve"> different location of surface soil of geological formation  and 20 samples of mud companion oil extraction were collected during drilling, from one of the oil wells in the Kurdistan region of Iraq /Dohuk governorate / </w:t>
      </w:r>
      <w:proofErr w:type="spellStart"/>
      <w:r w:rsidRPr="00634D64">
        <w:t>Zakho</w:t>
      </w:r>
      <w:proofErr w:type="spellEnd"/>
      <w:r w:rsidRPr="00634D64">
        <w:t xml:space="preserve"> district / </w:t>
      </w:r>
      <w:proofErr w:type="spellStart"/>
      <w:r w:rsidRPr="00634D64">
        <w:t>Tawky</w:t>
      </w:r>
      <w:proofErr w:type="spellEnd"/>
      <w:r w:rsidRPr="00634D64">
        <w:t xml:space="preserve"> area. Samples are taken at different depth of well. For both samples used the RAD7 technique, for finding the radon concentration in both samples with comparison, the smallest value in depth soil and surface formation was 14.12±8.59 and 16±4.24 </w:t>
      </w:r>
      <w:proofErr w:type="spellStart"/>
      <w:r w:rsidRPr="00634D64">
        <w:t>Bq</w:t>
      </w:r>
      <w:proofErr w:type="spellEnd"/>
      <w:r w:rsidRPr="00634D64">
        <w:t>/m</w:t>
      </w:r>
      <w:r w:rsidRPr="00057168">
        <w:rPr>
          <w:vertAlign w:val="superscript"/>
        </w:rPr>
        <w:t>3</w:t>
      </w:r>
      <w:r w:rsidRPr="00634D64">
        <w:t xml:space="preserve"> while the highest value was 93.25+21.72 and 137±8.76 </w:t>
      </w:r>
      <w:proofErr w:type="spellStart"/>
      <w:r w:rsidRPr="00634D64">
        <w:t>Bq</w:t>
      </w:r>
      <w:proofErr w:type="spellEnd"/>
      <w:r w:rsidRPr="00634D64">
        <w:t>/m</w:t>
      </w:r>
      <w:r w:rsidRPr="00057168">
        <w:rPr>
          <w:vertAlign w:val="superscript"/>
        </w:rPr>
        <w:t>3</w:t>
      </w:r>
      <w:r w:rsidRPr="00634D64">
        <w:t xml:space="preserve">, finding there are difference in both the depth and surface formation, with shows that the all surface formation ratio over the depth ratio. The same thing with exhalation rate for both of samples, recorded value was higher than well depths layer. At last will </w:t>
      </w:r>
      <w:proofErr w:type="gramStart"/>
      <w:r w:rsidRPr="00634D64">
        <w:t>compared</w:t>
      </w:r>
      <w:proofErr w:type="gramEnd"/>
      <w:r w:rsidRPr="00634D64">
        <w:t xml:space="preserve"> with recommended researches and the “International Atomic Energy Agency” (IAEA) levels. Data shows it was less than the standards of IAEA. </w:t>
      </w:r>
    </w:p>
    <w:p w:rsidR="00A17932" w:rsidRPr="0010639B" w:rsidRDefault="00A17932" w:rsidP="00A17932">
      <w:pPr>
        <w:pStyle w:val="ETASRkeywords"/>
      </w:pPr>
      <w:r w:rsidRPr="0010639B">
        <w:t xml:space="preserve">Keywords: NORM, Surface geological formation, Oil well, </w:t>
      </w:r>
      <w:r w:rsidRPr="00057168">
        <w:rPr>
          <w:vertAlign w:val="superscript"/>
        </w:rPr>
        <w:t>222-</w:t>
      </w:r>
      <w:r w:rsidRPr="0010639B">
        <w:t>Radon gas, Exhalation rate, RAD7</w:t>
      </w:r>
    </w:p>
    <w:p w:rsidR="00A17932" w:rsidRPr="00EC7121" w:rsidRDefault="00A17932" w:rsidP="00D513FC">
      <w:pPr>
        <w:pStyle w:val="ETASRHeading1"/>
        <w:numPr>
          <w:ilvl w:val="0"/>
          <w:numId w:val="10"/>
        </w:numPr>
        <w:contextualSpacing/>
      </w:pPr>
      <w:r w:rsidRPr="00EC7121">
        <w:t>Introduction</w:t>
      </w:r>
    </w:p>
    <w:p w:rsidR="00C52F11" w:rsidRPr="0049138F" w:rsidRDefault="00A17932" w:rsidP="00057168">
      <w:pPr>
        <w:pStyle w:val="ETASRbodytext"/>
        <w:ind w:firstLine="289"/>
      </w:pPr>
      <w:r w:rsidRPr="00EC7121">
        <w:t>The natural radioactivity was more than background radiation, which clarified in oil with gas retrieval waste into the 1930s (</w:t>
      </w:r>
      <w:bookmarkStart w:id="14" w:name="OLE_LINK43"/>
      <w:bookmarkStart w:id="15" w:name="OLE_LINK44"/>
      <w:r w:rsidRPr="00EC7121">
        <w:t>Otto 1989</w:t>
      </w:r>
      <w:bookmarkEnd w:id="14"/>
      <w:bookmarkEnd w:id="15"/>
      <w:r w:rsidRPr="00EC7121">
        <w:t>).</w:t>
      </w:r>
      <w:bookmarkStart w:id="16" w:name="OLE_LINK16"/>
      <w:bookmarkStart w:id="17" w:name="OLE_LINK17"/>
      <w:r w:rsidRPr="00EC7121">
        <w:t xml:space="preserve"> In 1980s and up some regulatory agencies going to have an action for paying attention to NORM subject related to hydrocarbon production (</w:t>
      </w:r>
      <w:bookmarkStart w:id="18" w:name="OLE_LINK45"/>
      <w:bookmarkStart w:id="19" w:name="OLE_LINK46"/>
      <w:r w:rsidRPr="00EC7121">
        <w:t>Smith 1992</w:t>
      </w:r>
      <w:bookmarkEnd w:id="18"/>
      <w:bookmarkEnd w:id="19"/>
      <w:r w:rsidRPr="00EC7121">
        <w:t>). Gamma radiation that comes from wastes has an extremely wide range</w:t>
      </w:r>
      <w:r w:rsidR="00D43566" w:rsidRPr="00EC7121">
        <w:fldChar w:fldCharType="begin" w:fldLock="1"/>
      </w:r>
      <w:r w:rsidRPr="00EC7121">
        <w:instrText>ADDIN CSL_CITATION {"citationItems":[{"id":"ITEM-1","itemData":{"ISBN":"null","author":[{"dropping-particle":"","family":"Smith","given":"K P","non-dropping-particle":"","parse-names":false,"suffix":""}],"container-title":"Work","id":"ITEM-1","issued":{"date-parts":[["1992"]]},"title":"Overview of Naturally Occurring Radioaiv Materials (NORM) in the Petroleum Industry","type":"article-journal"},"uris":["http://www.mendeley.com/documents/?uuid=b4542a04-031f-4a18-8d89-b7ccb48a8e3c"]},{"id":"ITEM-2","itemData":{"DOI":"10.1016/j.jenvrad.2014.05.016","ISSN":"18791700","PMID":"24949581","abstract":"In this study, a potential radiation hazard from TENORM sludge wastes generated during exploration and extraction processes of oil and gas was evaluated. The activity concentration of natural radionuclides238U,226Ra and232Th were determined in TENORM sludge waste. It was found that sludge waste from oil and gas industry is one of the major sources of226Ra in the environment. Therefore, some preliminary chemical treatment of sludge waste using Triton X-100 was also investigated to reduce the radioactivity content as well as the risk of radiation hazard from TENORM wastes. The activity concentrations of226Ra and228Ra in petroleum sludge materials before and after chemical treatment were measured using gamma-ray spectrometry. The average values of the activity concentrations of226Ra and228Ra measured in the original samples were found as 8908Bqkg-1and 933Bqkg-1, respectively. After chemical treatment of TENORM samples, the average values of the activity concentrations of226Ra and228Ra measured in the samples were found as 7835Bqkg-1and 574Bqkg-1, respectively. Activity concentration index, internal index, absorbed gamma dose rate and the corresponding effective dose rate were estimated for untreated and treated samples. © 2014 Elsevier Ltd.","author":[{"dropping-particle":"","family":"Hilal","given":"M. A.","non-dropping-particle":"","parse-names":false,"suffix":""},{"dropping-particle":"","family":"Attallah","given":"M. F.","non-dropping-particle":"","parse-names":false,"suffix":""},{"dropping-particle":"","family":"Mohamed","given":"Gehan Y.","non-dropping-particle":"","parse-names":false,"suffix":""},{"dropping-particle":"","family":"Fayez-Hassan","given":"M.","non-dropping-particle":"","parse-names":false,"suffix":""}],"container-title":"Journal of Environmental Radioactivity","id":"ITEM-2","issued":{"date-parts":[["2014"]]},"page":"121-126","publisher":"Elsevier Ltd","title":"Evaluation of radiation hazard potential of TENORM waste from oil and natural gas production","type":"article-journal","volume":"136"},"uris":["http://www.mendeley.com/documents/?uuid=3b7bb2e9-475a-42de-b0e6-f8c31bd8ea07"]}],"mendeley":{"formattedCitation":"[1], [2]","manualFormatting":"[3][7]","plainTextFormattedCitation":"[1], [2]","previouslyFormattedCitation":"[1], [2]"},"properties":{"noteIndex":0},"schema":"https://github.com/citation-style-language/schema/raw/master/csl-citation.json"}</w:instrText>
      </w:r>
      <w:r w:rsidR="00D43566" w:rsidRPr="00EC7121">
        <w:fldChar w:fldCharType="separate"/>
      </w:r>
      <w:r w:rsidRPr="00EC7121">
        <w:t>[3][7]</w:t>
      </w:r>
      <w:r w:rsidR="00D43566" w:rsidRPr="00EC7121">
        <w:fldChar w:fldCharType="end"/>
      </w:r>
      <w:r w:rsidRPr="00EC7121">
        <w:t>. The environment contamination with pose risks to the health of human comes from the activities that uncontrolled releasing and joined by enhanced of NORM levels.</w:t>
      </w:r>
      <w:bookmarkEnd w:id="16"/>
      <w:bookmarkEnd w:id="17"/>
      <w:r w:rsidRPr="00EC7121">
        <w:t xml:space="preserve"> These kinds of risks can reduce by the adoption of checks to recognize the NORM source, with controlled NORM waste and polluted equipment </w:t>
      </w:r>
      <w:bookmarkStart w:id="20" w:name="OLE_LINK47"/>
      <w:bookmarkStart w:id="21" w:name="OLE_LINK48"/>
      <w:bookmarkStart w:id="22" w:name="OLE_LINK49"/>
      <w:r w:rsidRPr="00EC7121">
        <w:t xml:space="preserve">whereas </w:t>
      </w:r>
      <w:bookmarkEnd w:id="20"/>
      <w:bookmarkEnd w:id="21"/>
      <w:bookmarkEnd w:id="22"/>
      <w:r w:rsidRPr="00EC7121">
        <w:t xml:space="preserve">protecting workers. The 238U and 232Th are </w:t>
      </w:r>
      <w:proofErr w:type="spellStart"/>
      <w:r w:rsidRPr="00EC7121">
        <w:t>radi</w:t>
      </w:r>
      <w:proofErr w:type="spellEnd"/>
      <w:r w:rsidRPr="00210FE4">
        <w:t xml:space="preserve"> </w:t>
      </w:r>
      <w:proofErr w:type="spellStart"/>
      <w:r w:rsidRPr="00EC7121">
        <w:t>oactive</w:t>
      </w:r>
      <w:proofErr w:type="spellEnd"/>
      <w:r w:rsidRPr="00EC7121">
        <w:t xml:space="preserve"> material and they occurred hint concentration into a rock formation and soil organizes. This kind of unstable radioactive chemical element create other </w:t>
      </w:r>
      <w:bookmarkStart w:id="23" w:name="OLE_LINK50"/>
      <w:bookmarkStart w:id="24" w:name="OLE_LINK51"/>
      <w:bookmarkStart w:id="25" w:name="OLE_LINK52"/>
      <w:proofErr w:type="spellStart"/>
      <w:r w:rsidRPr="00EC7121">
        <w:t>radionuclides</w:t>
      </w:r>
      <w:bookmarkEnd w:id="23"/>
      <w:bookmarkEnd w:id="24"/>
      <w:bookmarkEnd w:id="25"/>
      <w:proofErr w:type="spellEnd"/>
      <w:r w:rsidRPr="00EC7121">
        <w:t xml:space="preserve">, which have certain conditions as of (temperature, pressure, acidity, etc.) into the some surface layer and </w:t>
      </w:r>
      <w:bookmarkStart w:id="26" w:name="OLE_LINK18"/>
      <w:bookmarkStart w:id="27" w:name="OLE_LINK19"/>
      <w:r w:rsidRPr="00EC7121">
        <w:t xml:space="preserve">subsurface </w:t>
      </w:r>
      <w:bookmarkEnd w:id="26"/>
      <w:bookmarkEnd w:id="27"/>
      <w:r w:rsidRPr="00EC7121">
        <w:t>environment, t</w:t>
      </w:r>
      <w:bookmarkStart w:id="28" w:name="OLE_LINK42"/>
      <w:bookmarkStart w:id="29" w:name="OLE_LINK57"/>
      <w:r w:rsidRPr="00EC7121">
        <w:t xml:space="preserve">hey have mobile with a probability of transmitted from a reservoir to up surface during the extraction of crude oil products, from this  research tries to find the radon gas and its exhalation in term of area and mass ratio in each hundred meters of depth even though the more than one sample during </w:t>
      </w:r>
      <w:r w:rsidRPr="00EC7121">
        <w:lastRenderedPageBreak/>
        <w:t>some hundred meters come from the same formation.</w:t>
      </w:r>
      <w:bookmarkEnd w:id="28"/>
      <w:bookmarkEnd w:id="29"/>
      <w:r w:rsidRPr="00EC7121">
        <w:t xml:space="preserve"> In-contrast the other samples were collected from different location that have a spatial </w:t>
      </w:r>
      <w:proofErr w:type="spellStart"/>
      <w:r w:rsidRPr="00EC7121">
        <w:t>geologecal</w:t>
      </w:r>
      <w:proofErr w:type="spellEnd"/>
      <w:r w:rsidRPr="00EC7121">
        <w:t xml:space="preserve"> formation.  The study of radon in Saudi-Arabia found radon concentration in the soil was ranged from 75 to 220 </w:t>
      </w:r>
      <w:proofErr w:type="spellStart"/>
      <w:r w:rsidRPr="00EC7121">
        <w:t>Bq</w:t>
      </w:r>
      <w:proofErr w:type="spellEnd"/>
      <w:r w:rsidRPr="00EC7121">
        <w:t>/m</w:t>
      </w:r>
      <w:r w:rsidRPr="00057168">
        <w:rPr>
          <w:vertAlign w:val="superscript"/>
        </w:rPr>
        <w:t>3</w:t>
      </w:r>
      <w:r w:rsidRPr="00EC7121">
        <w:t xml:space="preserve"> </w:t>
      </w:r>
      <w:r w:rsidR="00D43566" w:rsidRPr="00EC7121">
        <w:fldChar w:fldCharType="begin" w:fldLock="1"/>
      </w:r>
      <w:r w:rsidRPr="00EC7121">
        <w:instrText>ADDIN CSL_CITATION {"citationItems":[{"id":"ITEM-1","itemData":{"DOI":"http://dx.doi.org/10.1016/j.physletb.2015.02.036","ISSN":"0370-2693","abstract":"Abstract We address the question of unlikeness of R 2 - and Higgs inflations exhibiting exponentially flat potentials and hence apparently violating the inherent in a chaotic inflation initial condition when kinetic, gradient and potential terms are all of order one in Planck units. Placing the initial conditions in the Jourdan frame we find both models not worse than any other models with unbounded from above potentials: the terms in the Einstein frame are all of the same order, though appropriately smaller. ","author":[{"dropping-particle":"","family":"Alharbi","given":"Wedad Reif","non-dropping-particle":"","parse-names":false,"suffix":""}],"container-title":"Natural Science","id":"ITEM-1","issue":"01","issued":{"date-parts":[["2013"]]},"page":"93-98","title":"Measurement of radon concentrations in soil and the extent of their impact on the environment from Al-Qassim, Saudi Arabia","type":"article-journal","volume":"05"},"uris":["http://www.mendeley.com/documents/?uuid=2e818f07-d2f0-4246-9462-0c51708ddf68"]}],"mendeley":{"formattedCitation":"[3]","plainTextFormattedCitation":"[3]","previouslyFormattedCitation":"[3]"},"properties":{"noteIndex":0},"schema":"https://github.com/citation-style-language/schema/raw/master/csl-citation.json"}</w:instrText>
      </w:r>
      <w:r w:rsidR="00D43566" w:rsidRPr="00EC7121">
        <w:fldChar w:fldCharType="separate"/>
      </w:r>
      <w:r w:rsidRPr="00EC7121">
        <w:t>[3]</w:t>
      </w:r>
      <w:r w:rsidR="00D43566" w:rsidRPr="00EC7121">
        <w:fldChar w:fldCharType="end"/>
      </w:r>
      <w:r w:rsidRPr="00EC7121">
        <w:t xml:space="preserve">, in another research found 4561 </w:t>
      </w:r>
      <w:proofErr w:type="spellStart"/>
      <w:r w:rsidRPr="00EC7121">
        <w:t>Bq</w:t>
      </w:r>
      <w:proofErr w:type="spellEnd"/>
      <w:r w:rsidRPr="00EC7121">
        <w:t>/m</w:t>
      </w:r>
      <w:r w:rsidRPr="00057168">
        <w:rPr>
          <w:vertAlign w:val="superscript"/>
        </w:rPr>
        <w:t>3</w:t>
      </w:r>
      <w:r w:rsidRPr="00EC7121">
        <w:t xml:space="preserve"> as mean value in soil </w:t>
      </w:r>
      <w:r w:rsidR="00D43566" w:rsidRPr="00EC7121">
        <w:fldChar w:fldCharType="begin" w:fldLock="1"/>
      </w:r>
      <w:r w:rsidRPr="00EC7121">
        <w:instrText>ADDIN CSL_CITATION {"citationItems":[{"id":"ITEM-1","itemData":{"DOI":"10.1016/j.jrras.2015.10.006","ISSN":"16878507","abstract":"In the present investigation, analysis of radon concentration in 20 water and soil samples collected from different locations of Bikaner and Jhunjhunu districts of Rajasthan, India has been carried out by using RAD7 an electronic Radon detector. The measured radon concentration in water samples lies in the range from 0.50 to 22 Bq l−1 with the mean value of 4.42 Bq l−1, which lies within the safe limit from 4 to 40 Bq l−1 recommended by United Nations Scientific Committee on the Effects of Atomic Radiation (UNSCEAR, 2008). The total annual effective dose estimated due to radon concentration in water ranges from 1.37 to 60.06 μSV y−1 with the mean value of 12.08 μSV y−1, which is lower than the safe limit 0.1 mSv y−1 as set by World Health Organization (WHO, 2004) and European Council (EU, 1998). Radon measurement in soil samples varies from 941 to 10,050 Bq m−3 with the mean value of 4561 Bq m−3, which lies within the range reported by other investigators. It was observed that the soil and water of Bikaner and Jhunjhunu districts are suitable for drinking and construction purpose without posing any health hazard.","author":[{"dropping-particle":"","family":"Mittal","given":"Sudhir","non-dropping-particle":"","parse-names":false,"suffix":""},{"dropping-particle":"","family":"Rani","given":"Asha","non-dropping-particle":"","parse-names":false,"suffix":""},{"dropping-particle":"","family":"Mehra","given":"Rohit","non-dropping-particle":"","parse-names":false,"suffix":""}],"container-title":"Journal of Radiation Research and Applied Sciences","id":"ITEM-1","issue":"2","issued":{"date-parts":[["2015"]]},"page":"125-130","publisher":"Elsevier Ltd","title":"Estimation of radon concentration in soil and groundwater samples of Northern Rajasthan, India","type":"article-journal","volume":"9"},"uris":["http://www.mendeley.com/documents/?uuid=a5d88887-f4cd-49b5-a2da-ccb6ae886101"]}],"mendeley":{"formattedCitation":"[4]","plainTextFormattedCitation":"[4]","previouslyFormattedCitation":"[4]"},"properties":{"noteIndex":0},"schema":"https://github.com/citation-style-language/schema/raw/master/csl-citation.json"}</w:instrText>
      </w:r>
      <w:r w:rsidR="00D43566" w:rsidRPr="00EC7121">
        <w:fldChar w:fldCharType="separate"/>
      </w:r>
      <w:r w:rsidRPr="00EC7121">
        <w:t>[4]</w:t>
      </w:r>
      <w:r w:rsidR="00D43566" w:rsidRPr="00EC7121">
        <w:fldChar w:fldCharType="end"/>
      </w:r>
      <w:r w:rsidRPr="00EC7121">
        <w:t xml:space="preserve">. From the India study of radon gas in soil, the radon rated were 7.46 ± 0.69 </w:t>
      </w:r>
      <w:proofErr w:type="spellStart"/>
      <w:r w:rsidRPr="00EC7121">
        <w:t>kBq</w:t>
      </w:r>
      <w:proofErr w:type="spellEnd"/>
      <w:r w:rsidRPr="00EC7121">
        <w:t>/m</w:t>
      </w:r>
      <w:r w:rsidRPr="00057168">
        <w:rPr>
          <w:vertAlign w:val="superscript"/>
        </w:rPr>
        <w:t>3</w:t>
      </w:r>
      <w:r w:rsidRPr="00EC7121">
        <w:t xml:space="preserve"> </w:t>
      </w:r>
      <w:r w:rsidR="00D43566" w:rsidRPr="00EC7121">
        <w:fldChar w:fldCharType="begin" w:fldLock="1"/>
      </w:r>
      <w:r w:rsidRPr="00EC7121">
        <w:instrText>ADDIN CSL_CITATION {"citationItems":[{"id":"ITEM-1","itemData":{"DOI":"10.1016/j.radmeas.2008.04.050","ISSN":"13504487","abstract":"Environmental radiation exists as a consequence of cosmic, terrestrial and man made sources. Terrestrial radiation are emitted from natural radionuclide present in varying amounts in all types of soils, rocks, air, water and other environmental materials; radon is emitted from the soil surface, although secondary contributors include the oceans, natural gas, geothermal fluids, volcanic gases, ventilation from caves and mines, and combustion of coal. Radon and thoron levels were measured in soil-gas, ground water and indoor air in Budhakedar area of Tehri Garhwal, India. Radon concentrations in soil and groundwater of the Budhakedar area were found to vary from 1.10 ± 0.29 to 31.8 ± 1.6 kBq / m3 with an average value 7.46 ± 0.69 kBq / m3 and 8 ± 1 Bq / l to 3.05 ± 0.02 kBq / l with mean value 0.51 ± 0.01 kBq / l, respectively. Measurement of indoor radon, thoron and their daughter products were also measured in the houses of the same area for four different seasons (autumn, winter, summer and rainy) using LR-115 plastic track detectors. The detector is fixed in a twin chamber radon dosimeter, which can record the values of radon, thoron and their decay products separately. The film fixed in bare mode holder gives the concentrations of radon, thoron and their progeny while the films fixed inside the cup with filter and membrane modes give the concentrations of radon/thoron gases and of pure radon gas, respectively. Detailed analysis of the effects of seasonal variation on radon, thoron and their decay products inside the houses are reported in this paper. © 2008 Elsevier Ltd. All rights reserved.","author":[{"dropping-particle":"","family":"Prasad","given":"Ganesh","non-dropping-particle":"","parse-names":false,"suffix":""},{"dropping-particle":"","family":"Prasad","given":"Yogesh","non-dropping-particle":"","parse-names":false,"suffix":""},{"dropping-particle":"","family":"Gusain","given":"G. S.","non-dropping-particle":"","parse-names":false,"suffix":""},{"dropping-particle":"","family":"Ramola","given":"R. C.","non-dropping-particle":"","parse-names":false,"suffix":""}],"container-title":"Radiation Measurements","id":"ITEM-1","issue":"SUPPL.1","issued":{"date-parts":[["2008"]]},"page":"375-379","title":"Measurement of radon and thoron levels in soil, water and indoor atmosphere of Budhakedar in Garhwal Himalaya, India","type":"article-journal","volume":"43"},"uris":["http://www.mendeley.com/documents/?uuid=204fde74-f387-4223-86a2-53333240ef58"]}],"mendeley":{"formattedCitation":"[5]","plainTextFormattedCitation":"[5]","previouslyFormattedCitation":"[5]"},"properties":{"noteIndex":0},"schema":"https://github.com/citation-style-language/schema/raw/master/csl-citation.json"}</w:instrText>
      </w:r>
      <w:r w:rsidR="00D43566" w:rsidRPr="00EC7121">
        <w:fldChar w:fldCharType="separate"/>
      </w:r>
      <w:r w:rsidRPr="00EC7121">
        <w:t>[5]</w:t>
      </w:r>
      <w:r w:rsidR="00D43566" w:rsidRPr="00EC7121">
        <w:fldChar w:fldCharType="end"/>
      </w:r>
      <w:r w:rsidRPr="00EC7121">
        <w:t>. In the field of radon exhalation rate in Syria measured 9 Bq.m</w:t>
      </w:r>
      <w:r w:rsidRPr="00057168">
        <w:rPr>
          <w:vertAlign w:val="superscript"/>
        </w:rPr>
        <w:t>-2</w:t>
      </w:r>
      <w:r w:rsidRPr="00EC7121">
        <w:t>.s</w:t>
      </w:r>
      <w:r w:rsidRPr="00057168">
        <w:rPr>
          <w:vertAlign w:val="superscript"/>
        </w:rPr>
        <w:t>-1</w:t>
      </w:r>
      <w:r w:rsidRPr="00EC7121">
        <w:t xml:space="preserve"> as of area exhalation rate </w:t>
      </w:r>
      <w:r w:rsidR="00D43566" w:rsidRPr="00EC7121">
        <w:fldChar w:fldCharType="begin" w:fldLock="1"/>
      </w:r>
      <w:r w:rsidRPr="00EC7121">
        <w:instrText>ADDIN CSL_CITATION {"citationItems":[{"id":"ITEM-1","itemData":{"DOI":"10.1016/j.radmeas.2005.06.025","ISSN":"13504487","abstract":"The aim of this work is to measure the concentration of the radon (222Rn) in soil air, 222Rn exhalation from soil and 222Rn in outdoor air which may have great influence on 222Rn levels in houses. 222Ra activity concentrations were also determined in soil samples. The studied areas are located in southern part of Syria. The common bed rock of this area is black and massive granite which are poor in uranium content [Jubeli Y.M., 1990. Uranium exploration in Syria. Internal Technical Report, vol. 1 (in English), vol. 2 (in Arabic), SAEC, Damascus; Technoexport (USSR), 1966. In: Ponikarov (Ed.), The Geological Map of Syria Scale: 1:200.000, Ministry of Industry, Damascus, Syria]. Results showed that the maximum measurement in all areas was 32500Bqm-3 in soil air with an exhalation rate of 9Bqm-2s-1 in Darra region and 66.43Bqm-3 of radon in open air, with 77Bqkg-1 of radium content in soil (Damascus suburb). In addition, correlations between Rn in soil and exhalation of Radon from soil and radon in houses were found in some areas (Sweda and Darra), while, no correlations were found in other studied areas. Moreover, no correlation between radon in houses and radon measurements in soil and in outdoors were found. This was attributed to the methodology used and the influence of building design and inhabitants behavior. © 2005 Elsevier Ltd. All rights reserved.","author":[{"dropping-particle":"","family":"Shweikani","given":"R.","non-dropping-particle":"","parse-names":false,"suffix":""},{"dropping-particle":"","family":"Hushari","given":"M.","non-dropping-particle":"","parse-names":false,"suffix":""}],"container-title":"Radiation Measurements","id":"ITEM-1","issue":"2-6","issued":{"date-parts":[["2005"]]},"page":"699-703","title":"The correlations between Radon in soil gas and its exhalation and concentration in air in the southern part of Syria","type":"article-journal","volume":"40"},"uris":["http://www.mendeley.com/documents/?uuid=7f2a5ecd-d42a-4371-9b42-6abe711423d4"]}],"mendeley":{"formattedCitation":"[6]","plainTextFormattedCitation":"[6]","previouslyFormattedCitation":"[6]"},"properties":{"noteIndex":0},"schema":"https://github.com/citation-style-language/schema/raw/master/csl-citation.json"}</w:instrText>
      </w:r>
      <w:r w:rsidR="00D43566" w:rsidRPr="00EC7121">
        <w:fldChar w:fldCharType="separate"/>
      </w:r>
      <w:r w:rsidRPr="00EC7121">
        <w:t>[6]</w:t>
      </w:r>
      <w:r w:rsidR="00D43566" w:rsidRPr="00EC7121">
        <w:fldChar w:fldCharType="end"/>
      </w:r>
      <w:r w:rsidRPr="00EC7121">
        <w:t>.</w:t>
      </w:r>
      <w:bookmarkStart w:id="30" w:name="OLE_LINK29"/>
      <w:bookmarkStart w:id="31" w:name="OLE_LINK30"/>
      <w:r w:rsidRPr="00EC7121">
        <w:t xml:space="preserve"> The aim of the current study is to find the concentration of radon by using RAD7 technique. A total of 13 formation samples from different location located in the North of Duhok governorate, and 20 mud samples were collected during drilling of the oil well. This is in one of the oil wells in the area of </w:t>
      </w:r>
      <w:proofErr w:type="spellStart"/>
      <w:r w:rsidRPr="00EC7121">
        <w:t>Tawky</w:t>
      </w:r>
      <w:proofErr w:type="spellEnd"/>
      <w:r w:rsidRPr="00EC7121">
        <w:t xml:space="preserve">, located east of the </w:t>
      </w:r>
      <w:proofErr w:type="spellStart"/>
      <w:r w:rsidRPr="00EC7121">
        <w:t>Zakho</w:t>
      </w:r>
      <w:proofErr w:type="spellEnd"/>
      <w:r w:rsidRPr="00EC7121">
        <w:t xml:space="preserve"> district in Dohuk governorate. At different depths, the purpose of calculating the surface area and mass exhalation rate of radon to be compared them with surface formation and depth with other studies.</w:t>
      </w:r>
      <w:bookmarkEnd w:id="30"/>
      <w:bookmarkEnd w:id="31"/>
    </w:p>
    <w:p w:rsidR="00A17932" w:rsidRPr="00EC7121" w:rsidRDefault="00A17932" w:rsidP="00D513FC">
      <w:pPr>
        <w:pStyle w:val="ETASRHeading1"/>
        <w:numPr>
          <w:ilvl w:val="0"/>
          <w:numId w:val="10"/>
        </w:numPr>
        <w:contextualSpacing/>
      </w:pPr>
      <w:r w:rsidRPr="00EC7121">
        <w:t>Study area information</w:t>
      </w:r>
    </w:p>
    <w:p w:rsidR="00A17932" w:rsidRPr="00A17932" w:rsidRDefault="00A17932" w:rsidP="00A17932">
      <w:pPr>
        <w:spacing w:line="228" w:lineRule="auto"/>
        <w:jc w:val="both"/>
        <w:rPr>
          <w:rFonts w:eastAsia="MS Mincho"/>
          <w:spacing w:val="-1"/>
        </w:rPr>
      </w:pPr>
      <w:r w:rsidRPr="00A447BB">
        <w:rPr>
          <w:rFonts w:cstheme="majorBidi"/>
        </w:rPr>
        <w:t>T</w:t>
      </w:r>
      <w:r w:rsidRPr="00A17932">
        <w:rPr>
          <w:rFonts w:eastAsia="MS Mincho"/>
          <w:spacing w:val="-1"/>
        </w:rPr>
        <w:t xml:space="preserve">he Both area was located in Iraq/ Northwest and North of Duhok governorate about 60 km far from the center of the city and about 20, 60 km east of </w:t>
      </w:r>
      <w:proofErr w:type="spellStart"/>
      <w:r w:rsidRPr="00A17932">
        <w:rPr>
          <w:rFonts w:eastAsia="MS Mincho"/>
          <w:spacing w:val="-1"/>
        </w:rPr>
        <w:t>Zakho</w:t>
      </w:r>
      <w:proofErr w:type="spellEnd"/>
      <w:r w:rsidRPr="00A17932">
        <w:rPr>
          <w:rFonts w:eastAsia="MS Mincho"/>
          <w:spacing w:val="-1"/>
        </w:rPr>
        <w:t xml:space="preserve"> district, it was one of the 51 wells locations that extracting the crude oil in it and the other surface formation soil, this well </w:t>
      </w:r>
      <w:proofErr w:type="spellStart"/>
      <w:r w:rsidRPr="00A17932">
        <w:rPr>
          <w:rFonts w:eastAsia="MS Mincho"/>
          <w:spacing w:val="-1"/>
        </w:rPr>
        <w:t>it</w:t>
      </w:r>
      <w:proofErr w:type="spellEnd"/>
      <w:r w:rsidRPr="00A17932">
        <w:rPr>
          <w:rFonts w:eastAsia="MS Mincho"/>
          <w:spacing w:val="-1"/>
        </w:rPr>
        <w:t xml:space="preserve"> located at the end of oil land at present time.  GPS pint was </w:t>
      </w:r>
      <w:bookmarkStart w:id="32" w:name="OLE_LINK110"/>
      <w:bookmarkStart w:id="33" w:name="OLE_LINK111"/>
      <w:r w:rsidRPr="00A17932">
        <w:rPr>
          <w:rFonts w:eastAsia="MS Mincho"/>
          <w:spacing w:val="-1"/>
        </w:rPr>
        <w:t>37.161985 latitude, 43.</w:t>
      </w:r>
      <w:bookmarkEnd w:id="32"/>
      <w:bookmarkEnd w:id="33"/>
      <w:r w:rsidRPr="00A17932">
        <w:rPr>
          <w:rFonts w:eastAsia="MS Mincho"/>
          <w:spacing w:val="-1"/>
        </w:rPr>
        <w:t>016341 longitude, the depth was 2200 m to be reached the layer of crude oil, so during the excavation, we can find different of geological formation. But the other list of data was form special locations that appear the formation soil on it.</w:t>
      </w:r>
    </w:p>
    <w:p w:rsidR="00A17932" w:rsidRPr="0041158B" w:rsidRDefault="00A17932" w:rsidP="00D513FC">
      <w:pPr>
        <w:pStyle w:val="ETASRHeading1"/>
        <w:numPr>
          <w:ilvl w:val="0"/>
          <w:numId w:val="10"/>
        </w:numPr>
        <w:contextualSpacing/>
      </w:pPr>
      <w:bookmarkStart w:id="34" w:name="OLE_LINK7"/>
      <w:bookmarkStart w:id="35" w:name="OLE_LINK8"/>
      <w:r w:rsidRPr="0041158B">
        <w:t>Experimental preparation</w:t>
      </w:r>
    </w:p>
    <w:p w:rsidR="00A17932" w:rsidRDefault="00A17932" w:rsidP="00947096">
      <w:pPr>
        <w:spacing w:line="228" w:lineRule="auto"/>
        <w:ind w:firstLine="720"/>
        <w:jc w:val="both"/>
        <w:rPr>
          <w:rFonts w:eastAsia="MS Mincho"/>
          <w:spacing w:val="-1"/>
        </w:rPr>
      </w:pPr>
      <w:r w:rsidRPr="0041158B">
        <w:rPr>
          <w:rFonts w:eastAsia="MS Mincho"/>
          <w:spacing w:val="-1"/>
        </w:rPr>
        <w:t xml:space="preserve">Twenty samples of drilling mud from </w:t>
      </w:r>
      <w:bookmarkStart w:id="36" w:name="OLE_LINK9"/>
      <w:bookmarkStart w:id="37" w:name="OLE_LINK10"/>
      <w:bookmarkStart w:id="38" w:name="OLE_LINK11"/>
      <w:r w:rsidRPr="0041158B">
        <w:rPr>
          <w:rFonts w:eastAsia="MS Mincho"/>
          <w:spacing w:val="-1"/>
        </w:rPr>
        <w:t xml:space="preserve">assorted </w:t>
      </w:r>
      <w:bookmarkEnd w:id="36"/>
      <w:bookmarkEnd w:id="37"/>
      <w:bookmarkEnd w:id="38"/>
      <w:r w:rsidRPr="0041158B">
        <w:rPr>
          <w:rFonts w:eastAsia="MS Mincho"/>
          <w:spacing w:val="-1"/>
        </w:rPr>
        <w:t xml:space="preserve">depths (assorted formations) were gathered from </w:t>
      </w:r>
      <w:proofErr w:type="spellStart"/>
      <w:r w:rsidRPr="0041158B">
        <w:rPr>
          <w:rFonts w:eastAsia="MS Mincho"/>
          <w:spacing w:val="-1"/>
        </w:rPr>
        <w:t>Tawke</w:t>
      </w:r>
      <w:proofErr w:type="spellEnd"/>
      <w:r w:rsidRPr="0041158B">
        <w:rPr>
          <w:rFonts w:eastAsia="MS Mincho"/>
          <w:spacing w:val="-1"/>
        </w:rPr>
        <w:t xml:space="preserve"> (T-49) oil well. The well is located in </w:t>
      </w:r>
      <w:proofErr w:type="spellStart"/>
      <w:r w:rsidRPr="0041158B">
        <w:rPr>
          <w:rFonts w:eastAsia="MS Mincho"/>
          <w:spacing w:val="-1"/>
        </w:rPr>
        <w:t>Tawke</w:t>
      </w:r>
      <w:proofErr w:type="spellEnd"/>
      <w:r w:rsidRPr="0041158B">
        <w:rPr>
          <w:rFonts w:eastAsia="MS Mincho"/>
          <w:spacing w:val="-1"/>
        </w:rPr>
        <w:t xml:space="preserve"> oil field, which is located in north of Iraq, northeast of Duhok governorate. The formation with the depths, from the samples that collected, is listed into table</w:t>
      </w:r>
      <w:r w:rsidR="00947096">
        <w:rPr>
          <w:rFonts w:eastAsia="MS Mincho"/>
          <w:spacing w:val="-1"/>
        </w:rPr>
        <w:t xml:space="preserve"> (</w:t>
      </w:r>
      <w:r w:rsidRPr="0041158B">
        <w:rPr>
          <w:rFonts w:eastAsia="MS Mincho"/>
          <w:spacing w:val="-1"/>
        </w:rPr>
        <w:t>1</w:t>
      </w:r>
      <w:r w:rsidR="00947096">
        <w:rPr>
          <w:rFonts w:eastAsia="MS Mincho"/>
          <w:spacing w:val="-1"/>
        </w:rPr>
        <w:t>)</w:t>
      </w:r>
      <w:r w:rsidRPr="0041158B">
        <w:rPr>
          <w:rFonts w:eastAsia="MS Mincho"/>
          <w:spacing w:val="-1"/>
        </w:rPr>
        <w:t xml:space="preserve"> and the surface formation measurement explored in table</w:t>
      </w:r>
      <w:r w:rsidR="00947096">
        <w:rPr>
          <w:rFonts w:eastAsia="MS Mincho"/>
          <w:spacing w:val="-1"/>
        </w:rPr>
        <w:t xml:space="preserve"> (</w:t>
      </w:r>
      <w:r w:rsidRPr="0041158B">
        <w:rPr>
          <w:rFonts w:eastAsia="MS Mincho"/>
          <w:spacing w:val="-1"/>
        </w:rPr>
        <w:t>2</w:t>
      </w:r>
      <w:proofErr w:type="gramStart"/>
      <w:r w:rsidR="00947096">
        <w:rPr>
          <w:rFonts w:eastAsia="MS Mincho"/>
          <w:spacing w:val="-1"/>
        </w:rPr>
        <w:t>)</w:t>
      </w:r>
      <w:r w:rsidRPr="0041158B">
        <w:rPr>
          <w:rFonts w:eastAsia="MS Mincho"/>
          <w:spacing w:val="-1"/>
        </w:rPr>
        <w:t xml:space="preserve"> .</w:t>
      </w:r>
      <w:proofErr w:type="gramEnd"/>
      <w:r w:rsidRPr="0041158B">
        <w:rPr>
          <w:rFonts w:eastAsia="MS Mincho"/>
          <w:spacing w:val="-1"/>
        </w:rPr>
        <w:t xml:space="preserve"> The collected samples were dried by putting in oven 110</w:t>
      </w:r>
      <w:r w:rsidRPr="00057168">
        <w:rPr>
          <w:rFonts w:eastAsia="MS Mincho"/>
          <w:spacing w:val="-1"/>
          <w:vertAlign w:val="superscript"/>
        </w:rPr>
        <w:t>oC</w:t>
      </w:r>
      <w:r w:rsidRPr="0041158B">
        <w:rPr>
          <w:rFonts w:eastAsia="MS Mincho"/>
          <w:spacing w:val="-1"/>
        </w:rPr>
        <w:t xml:space="preserve"> one day for eliminate moisture, then milled to be a fine powder, then garbled with 0.2 mm mesh.</w:t>
      </w:r>
      <w:bookmarkEnd w:id="34"/>
      <w:bookmarkEnd w:id="35"/>
      <w:r w:rsidRPr="0041158B">
        <w:rPr>
          <w:rFonts w:eastAsia="MS Mincho"/>
          <w:spacing w:val="-1"/>
        </w:rPr>
        <w:t xml:space="preserve"> This study was used as an active mod as a solid-state determination to find the </w:t>
      </w:r>
      <w:r w:rsidRPr="0041158B">
        <w:rPr>
          <w:rFonts w:eastAsia="MS Mincho"/>
          <w:spacing w:val="-1"/>
        </w:rPr>
        <w:lastRenderedPageBreak/>
        <w:t xml:space="preserve">activity concentration of radon gas.  The setup of the experiment is shown by Figure (1) </w:t>
      </w:r>
      <w:proofErr w:type="gramStart"/>
      <w:r w:rsidRPr="0041158B">
        <w:rPr>
          <w:rFonts w:eastAsia="MS Mincho"/>
          <w:spacing w:val="-1"/>
        </w:rPr>
        <w:t>obviously,</w:t>
      </w:r>
      <w:proofErr w:type="gramEnd"/>
      <w:r w:rsidRPr="0041158B">
        <w:rPr>
          <w:rFonts w:eastAsia="MS Mincho"/>
          <w:spacing w:val="-1"/>
        </w:rPr>
        <w:t xml:space="preserve"> contain plastic-tube technique about ~one-liter volume manufactured of polyvinyl chloride (PVC) as a chamber to accumulation radon in it. The PVC-tube joined with vinyl tubing for drying the gas from humidity, because it contains desiccant (CaSO4) with the radon device monitor. A soil sample was put in the bottom of the tube as of radon exposure source, with closing both sides by PVC cover then the plastic-tube container isolated via two valves adjust at the different direction of sides of the container. The design has been measured after putting the samples and left in room temperature about one month. Throughout one month, it is sufficient to reach the equilibrium between both of radium with radon and also radon decay production been reached inner of tube chamber. When connected to the closed loop both valve where opened. The device pool air from the container</w:t>
      </w:r>
      <w:proofErr w:type="gramStart"/>
      <w:r w:rsidRPr="0041158B">
        <w:rPr>
          <w:rFonts w:eastAsia="MS Mincho"/>
          <w:spacing w:val="-1"/>
        </w:rPr>
        <w:t>,  passing</w:t>
      </w:r>
      <w:proofErr w:type="gramEnd"/>
      <w:r w:rsidRPr="0041158B">
        <w:rPr>
          <w:rFonts w:eastAsia="MS Mincho"/>
          <w:spacing w:val="-1"/>
        </w:rPr>
        <w:t xml:space="preserve"> through desiccant then to inlet filter then to RAD7 device into measuring tube chamber. The air was departing from the outlet of RAD7 device. The radioactive element decays interior of the chamber, creating detected (</w:t>
      </w:r>
      <w:r w:rsidRPr="0041158B">
        <w:rPr>
          <w:rFonts w:ascii="SymbolPS" w:eastAsia="MS Mincho" w:hAnsi="SymbolPS"/>
          <w:spacing w:val="-1"/>
        </w:rPr>
        <w:t></w:t>
      </w:r>
      <w:r w:rsidRPr="0041158B">
        <w:rPr>
          <w:rFonts w:eastAsia="MS Mincho"/>
          <w:spacing w:val="-1"/>
        </w:rPr>
        <w:t>) alpha-particle that emitter progeny, especially polonium isotopes. There is high voltage is about 2218V, pot on chamber walls. The detector of Rad7 was converted (</w:t>
      </w:r>
      <w:r w:rsidRPr="0041158B">
        <w:rPr>
          <w:rFonts w:ascii="SymbolPS" w:eastAsia="MS Mincho" w:hAnsi="SymbolPS"/>
          <w:spacing w:val="-1"/>
        </w:rPr>
        <w:t></w:t>
      </w:r>
      <w:r w:rsidRPr="0041158B">
        <w:rPr>
          <w:rFonts w:eastAsia="MS Mincho"/>
          <w:spacing w:val="-1"/>
        </w:rPr>
        <w:t xml:space="preserve">) alpha-radiation right away to electrical sign by utilizing the alpha technique and able to separate the different electrical pulses produce from </w:t>
      </w:r>
      <w:r w:rsidRPr="0041158B">
        <w:rPr>
          <w:rFonts w:eastAsia="MS Mincho"/>
          <w:spacing w:val="-1"/>
          <w:vertAlign w:val="superscript"/>
        </w:rPr>
        <w:t>214</w:t>
      </w:r>
      <w:r w:rsidRPr="0041158B">
        <w:rPr>
          <w:rFonts w:eastAsia="MS Mincho"/>
          <w:spacing w:val="-1"/>
        </w:rPr>
        <w:t xml:space="preserve">Po and </w:t>
      </w:r>
      <w:r w:rsidRPr="0041158B">
        <w:rPr>
          <w:rFonts w:eastAsia="MS Mincho"/>
          <w:spacing w:val="-1"/>
          <w:vertAlign w:val="superscript"/>
        </w:rPr>
        <w:t>218</w:t>
      </w:r>
      <w:r w:rsidRPr="0041158B">
        <w:rPr>
          <w:rFonts w:eastAsia="MS Mincho"/>
          <w:spacing w:val="-1"/>
        </w:rPr>
        <w:t>Po with energies 7MeV and 6MeV correspondingly.</w:t>
      </w:r>
    </w:p>
    <w:p w:rsidR="00D52D93" w:rsidRDefault="00D52D93" w:rsidP="00D52D93">
      <w:pPr>
        <w:spacing w:line="288" w:lineRule="auto"/>
        <w:rPr>
          <w:rFonts w:cstheme="majorBidi"/>
          <w:noProof/>
          <w:color w:val="000002"/>
        </w:rPr>
      </w:pPr>
      <w:r w:rsidRPr="00A447BB">
        <w:rPr>
          <w:rFonts w:cstheme="majorBidi"/>
          <w:noProof/>
          <w:color w:val="000002"/>
        </w:rPr>
        <w:drawing>
          <wp:inline distT="0" distB="0" distL="0" distR="0">
            <wp:extent cx="2941093" cy="1478908"/>
            <wp:effectExtent l="19050" t="0" r="0" b="0"/>
            <wp:docPr id="3" name="Picture 1" descr="D:\Zakho Master coures\Radon Researches\Dr. Hana جامعة الموصل\متطلبات البحث ادريس\العملی\صور HPGe and  Sentelation detectore\20190109_100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kho Master coures\Radon Researches\Dr. Hana جامعة الموصل\متطلبات البحث ادريس\العملی\صور HPGe and  Sentelation detectore\20190109_100855.jpg"/>
                    <pic:cNvPicPr>
                      <a:picLocks noChangeAspect="1" noChangeArrowheads="1"/>
                    </pic:cNvPicPr>
                  </pic:nvPicPr>
                  <pic:blipFill>
                    <a:blip r:embed="rId14" cstate="print"/>
                    <a:srcRect t="39547" b="10120"/>
                    <a:stretch>
                      <a:fillRect/>
                    </a:stretch>
                  </pic:blipFill>
                  <pic:spPr bwMode="auto">
                    <a:xfrm>
                      <a:off x="0" y="0"/>
                      <a:ext cx="2946332" cy="1481543"/>
                    </a:xfrm>
                    <a:prstGeom prst="rect">
                      <a:avLst/>
                    </a:prstGeom>
                    <a:noFill/>
                    <a:ln w="9525">
                      <a:noFill/>
                      <a:miter lim="800000"/>
                      <a:headEnd/>
                      <a:tailEnd/>
                    </a:ln>
                  </pic:spPr>
                </pic:pic>
              </a:graphicData>
            </a:graphic>
          </wp:inline>
        </w:drawing>
      </w:r>
    </w:p>
    <w:p w:rsidR="00D52D93" w:rsidRDefault="00D52D93" w:rsidP="00D52D93">
      <w:pPr>
        <w:spacing w:line="288" w:lineRule="auto"/>
        <w:rPr>
          <w:rFonts w:cstheme="majorBidi"/>
          <w:color w:val="000002"/>
        </w:rPr>
      </w:pPr>
      <w:proofErr w:type="gramStart"/>
      <w:r w:rsidRPr="00A447BB">
        <w:rPr>
          <w:rFonts w:cstheme="majorBidi"/>
          <w:noProof/>
          <w:color w:val="000002"/>
        </w:rPr>
        <w:t>`</w:t>
      </w:r>
      <w:r w:rsidRPr="0010639B">
        <w:rPr>
          <w:rFonts w:cstheme="majorBidi"/>
          <w:color w:val="000002"/>
        </w:rPr>
        <w:t xml:space="preserve"> </w:t>
      </w:r>
      <w:r w:rsidRPr="00A447BB">
        <w:rPr>
          <w:rFonts w:cstheme="majorBidi"/>
          <w:color w:val="000002"/>
        </w:rPr>
        <w:t>Fig</w:t>
      </w:r>
      <w:r>
        <w:rPr>
          <w:rFonts w:cstheme="majorBidi"/>
          <w:color w:val="000002"/>
        </w:rPr>
        <w:t xml:space="preserve">. </w:t>
      </w:r>
      <w:r w:rsidRPr="00A447BB">
        <w:rPr>
          <w:rFonts w:cstheme="majorBidi"/>
          <w:color w:val="000002"/>
        </w:rPr>
        <w:t>1</w:t>
      </w:r>
      <w:r>
        <w:rPr>
          <w:rFonts w:cstheme="majorBidi"/>
          <w:color w:val="000002"/>
        </w:rPr>
        <w:t>.</w:t>
      </w:r>
      <w:proofErr w:type="gramEnd"/>
      <w:r>
        <w:rPr>
          <w:rFonts w:cstheme="majorBidi"/>
          <w:color w:val="000002"/>
        </w:rPr>
        <w:t xml:space="preserve"> </w:t>
      </w:r>
      <w:r w:rsidRPr="00A447BB">
        <w:rPr>
          <w:rFonts w:cstheme="majorBidi"/>
          <w:color w:val="000002"/>
        </w:rPr>
        <w:t xml:space="preserve"> </w:t>
      </w:r>
      <w:proofErr w:type="gramStart"/>
      <w:r w:rsidRPr="00A447BB">
        <w:rPr>
          <w:rFonts w:cstheme="majorBidi"/>
          <w:color w:val="000002"/>
        </w:rPr>
        <w:t>Active method of radon concentration measurement.</w:t>
      </w:r>
      <w:proofErr w:type="gramEnd"/>
    </w:p>
    <w:p w:rsidR="00D52D93" w:rsidRPr="00A447BB" w:rsidRDefault="00D52D93" w:rsidP="00D52D93">
      <w:pPr>
        <w:spacing w:line="288" w:lineRule="auto"/>
        <w:rPr>
          <w:rFonts w:cstheme="majorBidi"/>
          <w:color w:val="000002"/>
        </w:rPr>
      </w:pPr>
    </w:p>
    <w:p w:rsidR="00D52D93" w:rsidRPr="0041158B" w:rsidRDefault="00D52D93" w:rsidP="00D52D93">
      <w:pPr>
        <w:spacing w:line="228" w:lineRule="auto"/>
        <w:ind w:firstLine="720"/>
        <w:jc w:val="both"/>
        <w:rPr>
          <w:rFonts w:eastAsia="MS Mincho"/>
          <w:spacing w:val="-1"/>
        </w:rPr>
      </w:pPr>
      <w:r w:rsidRPr="0041158B">
        <w:rPr>
          <w:rFonts w:eastAsia="MS Mincho"/>
          <w:spacing w:val="-1"/>
        </w:rPr>
        <w:t xml:space="preserve">The testing is done under a dry situation. </w:t>
      </w:r>
      <w:proofErr w:type="gramStart"/>
      <w:r w:rsidRPr="0041158B">
        <w:rPr>
          <w:rFonts w:eastAsia="MS Mincho"/>
          <w:spacing w:val="-1"/>
        </w:rPr>
        <w:t>Humidity condition between, 4-8%, with a temperature of room between 20 to 31</w:t>
      </w:r>
      <w:r w:rsidRPr="00057168">
        <w:rPr>
          <w:rFonts w:eastAsia="MS Mincho"/>
          <w:spacing w:val="-1"/>
          <w:vertAlign w:val="superscript"/>
        </w:rPr>
        <w:t xml:space="preserve"> </w:t>
      </w:r>
      <w:proofErr w:type="spellStart"/>
      <w:r w:rsidRPr="00057168">
        <w:rPr>
          <w:rFonts w:eastAsia="MS Mincho"/>
          <w:spacing w:val="-1"/>
          <w:vertAlign w:val="superscript"/>
        </w:rPr>
        <w:t>oC</w:t>
      </w:r>
      <w:r w:rsidRPr="0041158B">
        <w:rPr>
          <w:rFonts w:eastAsia="MS Mincho"/>
          <w:spacing w:val="-1"/>
        </w:rPr>
        <w:t>.</w:t>
      </w:r>
      <w:proofErr w:type="spellEnd"/>
      <w:proofErr w:type="gramEnd"/>
      <w:r w:rsidRPr="0041158B">
        <w:rPr>
          <w:rFonts w:eastAsia="MS Mincho"/>
          <w:spacing w:val="-1"/>
        </w:rPr>
        <w:t xml:space="preserve"> </w:t>
      </w:r>
    </w:p>
    <w:p w:rsidR="00D52D93" w:rsidRPr="0041158B" w:rsidRDefault="00D52D93" w:rsidP="00D52D93">
      <w:pPr>
        <w:spacing w:line="228" w:lineRule="auto"/>
        <w:ind w:firstLine="720"/>
        <w:jc w:val="both"/>
        <w:rPr>
          <w:rFonts w:eastAsia="MS Mincho"/>
          <w:spacing w:val="-1"/>
        </w:rPr>
      </w:pPr>
      <w:r w:rsidRPr="0041158B">
        <w:rPr>
          <w:rFonts w:eastAsia="MS Mincho"/>
          <w:spacing w:val="-1"/>
        </w:rPr>
        <w:t>When the equilibrium state, the flux (exhalation) of radon from each one of the sample inside the can in term of area and mass can be measured by the following model</w:t>
      </w:r>
      <w:r w:rsidR="00D43566" w:rsidRPr="0041158B">
        <w:rPr>
          <w:rFonts w:eastAsia="MS Mincho"/>
          <w:spacing w:val="-1"/>
        </w:rPr>
        <w:fldChar w:fldCharType="begin" w:fldLock="1"/>
      </w:r>
      <w:r w:rsidRPr="0041158B">
        <w:rPr>
          <w:rFonts w:eastAsia="MS Mincho"/>
          <w:spacing w:val="-1"/>
        </w:rPr>
        <w:instrText>ADDIN CSL_CITATION {"citationItems":[{"id":"ITEM-1","itemData":{"DOI":"10.9734/bjast/2015/19983","author":[{"dropping-particle":"","family":"Jebur","given":"Jabbar","non-dropping-particle":"","parse-names":false,"suffix":""},{"dropping-particle":"","family":"Subber","given":"Abdul","non-dropping-particle":"","parse-names":false,"suffix":""}],"container-title":"British Journal of Applied Science &amp; Technology","id":"ITEM-1","issue":"6","issued":{"date-parts":[["2015"]]},"page":"1-12","title":"Activity Concentration of 222Rn Gas,226Ra, 232Th and 40K in Crops and Soil Taken from Safwan Granges Using Active, Passive and Gamma Spectroscopy Techniques","type":"article-journal","volume":"11"},"uris":["http://www.mendeley.com/documents/?uuid=94b991c9-c930-461d-948b-95387e3b4250"]}],"mendeley":{"formattedCitation":"[7]","plainTextFormattedCitation":"[7]","previouslyFormattedCitation":"[7]"},"properties":{"noteIndex":0},"schema":"https://github.com/citation-style-language/schema/raw/master/csl-citation.json"}</w:instrText>
      </w:r>
      <w:r w:rsidR="00D43566" w:rsidRPr="0041158B">
        <w:rPr>
          <w:rFonts w:eastAsia="MS Mincho"/>
          <w:spacing w:val="-1"/>
        </w:rPr>
        <w:fldChar w:fldCharType="separate"/>
      </w:r>
      <w:r w:rsidRPr="0041158B">
        <w:rPr>
          <w:rFonts w:eastAsia="MS Mincho"/>
          <w:spacing w:val="-1"/>
        </w:rPr>
        <w:t>[7]</w:t>
      </w:r>
      <w:r w:rsidR="00D43566" w:rsidRPr="0041158B">
        <w:rPr>
          <w:rFonts w:eastAsia="MS Mincho"/>
          <w:spacing w:val="-1"/>
        </w:rPr>
        <w:fldChar w:fldCharType="end"/>
      </w:r>
      <w:r w:rsidRPr="0041158B">
        <w:rPr>
          <w:rFonts w:eastAsia="MS Mincho"/>
          <w:spacing w:val="-1"/>
        </w:rPr>
        <w:t>.</w:t>
      </w:r>
    </w:p>
    <w:p w:rsidR="00D52D93" w:rsidRPr="0041158B" w:rsidRDefault="00D52D93" w:rsidP="00D52D93">
      <w:pPr>
        <w:spacing w:line="228" w:lineRule="auto"/>
        <w:ind w:firstLine="720"/>
        <w:jc w:val="both"/>
        <w:rPr>
          <w:rFonts w:eastAsia="MS Mincho"/>
          <w:spacing w:val="-1"/>
        </w:rPr>
      </w:pPr>
      <w:r w:rsidRPr="009513F1">
        <w:rPr>
          <w:rFonts w:eastAsia="MS Mincho"/>
          <w:spacing w:val="-1"/>
        </w:rPr>
        <w:t>E</w:t>
      </w:r>
      <w:r w:rsidRPr="0041158B">
        <w:rPr>
          <w:rFonts w:eastAsia="MS Mincho"/>
          <w:spacing w:val="-1"/>
        </w:rPr>
        <w:t xml:space="preserve">A= </w:t>
      </w:r>
      <m:oMath>
        <w:bookmarkStart w:id="39" w:name="OLE_LINK59"/>
        <w:bookmarkStart w:id="40" w:name="OLE_LINK60"/>
        <m:f>
          <m:fPr>
            <m:ctrlPr>
              <w:rPr>
                <w:rFonts w:ascii="Cambria Math" w:eastAsia="MS Mincho" w:hAnsi="Cambria Math"/>
                <w:spacing w:val="-1"/>
              </w:rPr>
            </m:ctrlPr>
          </m:fPr>
          <m:num>
            <m:r>
              <m:rPr>
                <m:sty m:val="p"/>
              </m:rPr>
              <w:rPr>
                <w:rFonts w:ascii="Cambria Math" w:eastAsia="MS Mincho"/>
                <w:spacing w:val="-1"/>
              </w:rPr>
              <m:t>(</m:t>
            </m:r>
            <m:sSub>
              <m:sSubPr>
                <m:ctrlPr>
                  <w:rPr>
                    <w:rFonts w:ascii="Cambria Math" w:eastAsia="MS Mincho" w:hAnsi="Cambria Math"/>
                    <w:spacing w:val="-1"/>
                  </w:rPr>
                </m:ctrlPr>
              </m:sSubPr>
              <m:e>
                <m:r>
                  <m:rPr>
                    <m:sty m:val="p"/>
                  </m:rPr>
                  <w:rPr>
                    <w:rFonts w:ascii="Cambria Math" w:eastAsia="MS Mincho" w:hAnsi="Cambria Math"/>
                    <w:spacing w:val="-1"/>
                  </w:rPr>
                  <m:t>C</m:t>
                </m:r>
              </m:e>
              <m:sub>
                <m:r>
                  <m:rPr>
                    <m:sty m:val="p"/>
                  </m:rPr>
                  <w:rPr>
                    <w:rFonts w:ascii="Cambria Math" w:eastAsia="MS Mincho" w:hAnsi="Cambria Math"/>
                    <w:spacing w:val="-1"/>
                  </w:rPr>
                  <m:t>Rn</m:t>
                </m:r>
              </m:sub>
            </m:sSub>
            <m:r>
              <m:rPr>
                <m:sty m:val="p"/>
              </m:rPr>
              <w:rPr>
                <w:rFonts w:ascii="Cambria Math" w:eastAsia="MS Mincho"/>
                <w:spacing w:val="-1"/>
              </w:rPr>
              <m:t>.</m:t>
            </m:r>
            <m:r>
              <m:rPr>
                <m:sty m:val="p"/>
              </m:rPr>
              <w:rPr>
                <w:rFonts w:ascii="Cambria Math" w:eastAsia="MS Mincho" w:hAnsi="Cambria Math"/>
                <w:spacing w:val="-1"/>
              </w:rPr>
              <m:t>V</m:t>
            </m:r>
            <m:r>
              <m:rPr>
                <m:sty m:val="p"/>
              </m:rPr>
              <w:rPr>
                <w:rFonts w:ascii="Cambria Math" w:eastAsia="MS Mincho"/>
                <w:spacing w:val="-1"/>
              </w:rPr>
              <m:t>.</m:t>
            </m:r>
            <m:r>
              <m:rPr>
                <m:sty m:val="p"/>
              </m:rPr>
              <w:rPr>
                <w:rFonts w:eastAsia="MS Mincho" w:hAnsi="Cambria Math"/>
                <w:spacing w:val="-1"/>
              </w:rPr>
              <m:t>⅄</m:t>
            </m:r>
            <m:r>
              <m:rPr>
                <m:sty m:val="p"/>
              </m:rPr>
              <w:rPr>
                <w:rFonts w:ascii="Cambria Math" w:eastAsia="MS Mincho"/>
                <w:spacing w:val="-1"/>
              </w:rPr>
              <m:t>)/</m:t>
            </m:r>
            <m:r>
              <m:rPr>
                <m:sty m:val="p"/>
              </m:rPr>
              <w:rPr>
                <w:rFonts w:ascii="Cambria Math" w:eastAsia="MS Mincho" w:hAnsi="Cambria Math"/>
                <w:spacing w:val="-1"/>
              </w:rPr>
              <m:t>S</m:t>
            </m:r>
          </m:num>
          <m:den>
            <m:r>
              <m:rPr>
                <m:sty m:val="p"/>
              </m:rPr>
              <w:rPr>
                <w:rFonts w:ascii="Cambria Math" w:eastAsia="MS Mincho" w:hAnsi="Cambria Math"/>
                <w:spacing w:val="-1"/>
              </w:rPr>
              <m:t>T</m:t>
            </m:r>
            <m:r>
              <m:rPr>
                <m:sty m:val="p"/>
              </m:rPr>
              <w:rPr>
                <w:rFonts w:ascii="Cambria Math" w:eastAsia="MS Mincho"/>
                <w:spacing w:val="-1"/>
              </w:rPr>
              <m:t>+(</m:t>
            </m:r>
            <m:sSup>
              <m:sSupPr>
                <m:ctrlPr>
                  <w:rPr>
                    <w:rFonts w:ascii="Cambria Math" w:eastAsia="MS Mincho" w:hAnsi="Cambria Math"/>
                    <w:spacing w:val="-1"/>
                  </w:rPr>
                </m:ctrlPr>
              </m:sSupPr>
              <m:e>
                <m:r>
                  <m:rPr>
                    <m:sty m:val="p"/>
                  </m:rPr>
                  <w:rPr>
                    <w:rFonts w:ascii="Cambria Math" w:eastAsia="MS Mincho" w:hAnsi="Cambria Math"/>
                    <w:spacing w:val="-1"/>
                  </w:rPr>
                  <m:t>e</m:t>
                </m:r>
              </m:e>
              <m:sup>
                <m:r>
                  <m:rPr>
                    <m:sty m:val="p"/>
                  </m:rPr>
                  <w:rPr>
                    <w:rFonts w:eastAsia="MS Mincho"/>
                    <w:spacing w:val="-1"/>
                  </w:rPr>
                  <m:t>-</m:t>
                </m:r>
                <m:r>
                  <m:rPr>
                    <m:sty m:val="p"/>
                  </m:rPr>
                  <w:rPr>
                    <w:rFonts w:eastAsia="MS Mincho" w:hAnsi="Cambria Math"/>
                    <w:spacing w:val="-1"/>
                  </w:rPr>
                  <m:t>⅄</m:t>
                </m:r>
                <m:r>
                  <m:rPr>
                    <m:sty m:val="p"/>
                  </m:rPr>
                  <w:rPr>
                    <w:rFonts w:ascii="Cambria Math" w:eastAsia="MS Mincho" w:hAnsi="Cambria Math"/>
                    <w:spacing w:val="-1"/>
                  </w:rPr>
                  <m:t>T</m:t>
                </m:r>
              </m:sup>
            </m:sSup>
            <m:r>
              <m:rPr>
                <m:sty m:val="p"/>
              </m:rPr>
              <w:rPr>
                <w:rFonts w:eastAsia="MS Mincho"/>
                <w:spacing w:val="-1"/>
              </w:rPr>
              <m:t>-</m:t>
            </m:r>
            <m:r>
              <m:rPr>
                <m:sty m:val="p"/>
              </m:rPr>
              <w:rPr>
                <w:rFonts w:ascii="Cambria Math" w:eastAsia="MS Mincho"/>
                <w:spacing w:val="-1"/>
              </w:rPr>
              <m:t>1)/</m:t>
            </m:r>
            <m:r>
              <m:rPr>
                <m:sty m:val="p"/>
              </m:rPr>
              <w:rPr>
                <w:rFonts w:eastAsia="MS Mincho" w:hAnsi="Cambria Math"/>
                <w:spacing w:val="-1"/>
              </w:rPr>
              <m:t>⅄</m:t>
            </m:r>
          </m:den>
        </m:f>
      </m:oMath>
      <w:bookmarkEnd w:id="39"/>
      <w:bookmarkEnd w:id="40"/>
      <w:r w:rsidRPr="0041158B">
        <w:rPr>
          <w:rFonts w:eastAsia="MS Mincho"/>
          <w:spacing w:val="-1"/>
        </w:rPr>
        <w:tab/>
      </w:r>
      <w:r w:rsidRPr="0041158B">
        <w:rPr>
          <w:rFonts w:eastAsia="MS Mincho"/>
          <w:spacing w:val="-1"/>
        </w:rPr>
        <w:tab/>
      </w:r>
      <w:r w:rsidRPr="0041158B">
        <w:rPr>
          <w:rFonts w:eastAsia="MS Mincho"/>
          <w:spacing w:val="-1"/>
        </w:rPr>
        <w:tab/>
        <w:t>(1)</w:t>
      </w:r>
    </w:p>
    <w:p w:rsidR="00D52D93" w:rsidRPr="0041158B" w:rsidRDefault="00D52D93" w:rsidP="00D52D93">
      <w:pPr>
        <w:spacing w:line="228" w:lineRule="auto"/>
        <w:ind w:firstLine="720"/>
        <w:jc w:val="both"/>
        <w:rPr>
          <w:rFonts w:eastAsia="MS Mincho"/>
          <w:spacing w:val="-1"/>
        </w:rPr>
      </w:pPr>
      <w:r w:rsidRPr="0041158B">
        <w:rPr>
          <w:rFonts w:eastAsia="MS Mincho"/>
          <w:spacing w:val="-1"/>
        </w:rPr>
        <w:t>EM =</w:t>
      </w:r>
      <m:oMath>
        <m:r>
          <m:rPr>
            <m:sty m:val="p"/>
          </m:rPr>
          <w:rPr>
            <w:rFonts w:ascii="Cambria Math" w:eastAsia="MS Mincho"/>
            <w:spacing w:val="-1"/>
          </w:rPr>
          <m:t xml:space="preserve"> </m:t>
        </m:r>
        <m:f>
          <m:fPr>
            <m:ctrlPr>
              <w:rPr>
                <w:rFonts w:ascii="Cambria Math" w:eastAsia="MS Mincho" w:hAnsi="Cambria Math"/>
                <w:spacing w:val="-1"/>
              </w:rPr>
            </m:ctrlPr>
          </m:fPr>
          <m:num>
            <m:r>
              <m:rPr>
                <m:sty m:val="p"/>
              </m:rPr>
              <w:rPr>
                <w:rFonts w:ascii="Cambria Math" w:eastAsia="MS Mincho"/>
                <w:spacing w:val="-1"/>
              </w:rPr>
              <m:t>(</m:t>
            </m:r>
            <m:sSub>
              <m:sSubPr>
                <m:ctrlPr>
                  <w:rPr>
                    <w:rFonts w:ascii="Cambria Math" w:eastAsia="MS Mincho" w:hAnsi="Cambria Math"/>
                    <w:spacing w:val="-1"/>
                  </w:rPr>
                </m:ctrlPr>
              </m:sSubPr>
              <m:e>
                <m:r>
                  <m:rPr>
                    <m:sty m:val="p"/>
                  </m:rPr>
                  <w:rPr>
                    <w:rFonts w:ascii="Cambria Math" w:eastAsia="MS Mincho" w:hAnsi="Cambria Math"/>
                    <w:spacing w:val="-1"/>
                  </w:rPr>
                  <m:t>C</m:t>
                </m:r>
              </m:e>
              <m:sub>
                <m:r>
                  <m:rPr>
                    <m:sty m:val="p"/>
                  </m:rPr>
                  <w:rPr>
                    <w:rFonts w:ascii="Cambria Math" w:eastAsia="MS Mincho" w:hAnsi="Cambria Math"/>
                    <w:spacing w:val="-1"/>
                  </w:rPr>
                  <m:t>Rn</m:t>
                </m:r>
              </m:sub>
            </m:sSub>
            <m:r>
              <m:rPr>
                <m:sty m:val="p"/>
              </m:rPr>
              <w:rPr>
                <w:rFonts w:ascii="Cambria Math" w:eastAsia="MS Mincho"/>
                <w:spacing w:val="-1"/>
              </w:rPr>
              <m:t>.</m:t>
            </m:r>
            <m:r>
              <m:rPr>
                <m:sty m:val="p"/>
              </m:rPr>
              <w:rPr>
                <w:rFonts w:ascii="Cambria Math" w:eastAsia="MS Mincho" w:hAnsi="Cambria Math"/>
                <w:spacing w:val="-1"/>
              </w:rPr>
              <m:t>V</m:t>
            </m:r>
            <m:r>
              <m:rPr>
                <m:sty m:val="p"/>
              </m:rPr>
              <w:rPr>
                <w:rFonts w:ascii="Cambria Math" w:eastAsia="MS Mincho"/>
                <w:spacing w:val="-1"/>
              </w:rPr>
              <m:t>.</m:t>
            </m:r>
            <m:r>
              <m:rPr>
                <m:sty m:val="p"/>
              </m:rPr>
              <w:rPr>
                <w:rFonts w:eastAsia="MS Mincho" w:hAnsi="Cambria Math"/>
                <w:spacing w:val="-1"/>
              </w:rPr>
              <m:t>⅄</m:t>
            </m:r>
            <m:r>
              <m:rPr>
                <m:sty m:val="p"/>
              </m:rPr>
              <w:rPr>
                <w:rFonts w:ascii="Cambria Math" w:eastAsia="MS Mincho"/>
                <w:spacing w:val="-1"/>
              </w:rPr>
              <m:t>)/</m:t>
            </m:r>
            <m:r>
              <m:rPr>
                <m:sty m:val="p"/>
              </m:rPr>
              <w:rPr>
                <w:rFonts w:ascii="Cambria Math" w:eastAsia="MS Mincho" w:hAnsi="Cambria Math"/>
                <w:spacing w:val="-1"/>
              </w:rPr>
              <m:t>M</m:t>
            </m:r>
          </m:num>
          <m:den>
            <m:r>
              <m:rPr>
                <m:sty m:val="p"/>
              </m:rPr>
              <w:rPr>
                <w:rFonts w:ascii="Cambria Math" w:eastAsia="MS Mincho" w:hAnsi="Cambria Math"/>
                <w:spacing w:val="-1"/>
              </w:rPr>
              <m:t>T</m:t>
            </m:r>
            <m:r>
              <m:rPr>
                <m:sty m:val="p"/>
              </m:rPr>
              <w:rPr>
                <w:rFonts w:ascii="Cambria Math" w:eastAsia="MS Mincho"/>
                <w:spacing w:val="-1"/>
              </w:rPr>
              <m:t>+(</m:t>
            </m:r>
            <m:sSup>
              <m:sSupPr>
                <m:ctrlPr>
                  <w:rPr>
                    <w:rFonts w:ascii="Cambria Math" w:eastAsia="MS Mincho" w:hAnsi="Cambria Math"/>
                    <w:spacing w:val="-1"/>
                  </w:rPr>
                </m:ctrlPr>
              </m:sSupPr>
              <m:e>
                <m:r>
                  <m:rPr>
                    <m:sty m:val="p"/>
                  </m:rPr>
                  <w:rPr>
                    <w:rFonts w:ascii="Cambria Math" w:eastAsia="MS Mincho" w:hAnsi="Cambria Math"/>
                    <w:spacing w:val="-1"/>
                  </w:rPr>
                  <m:t>e</m:t>
                </m:r>
              </m:e>
              <m:sup>
                <m:r>
                  <m:rPr>
                    <m:sty m:val="p"/>
                  </m:rPr>
                  <w:rPr>
                    <w:rFonts w:eastAsia="MS Mincho"/>
                    <w:spacing w:val="-1"/>
                  </w:rPr>
                  <m:t>-</m:t>
                </m:r>
                <m:r>
                  <m:rPr>
                    <m:sty m:val="p"/>
                  </m:rPr>
                  <w:rPr>
                    <w:rFonts w:eastAsia="MS Mincho" w:hAnsi="Cambria Math"/>
                    <w:spacing w:val="-1"/>
                  </w:rPr>
                  <m:t>⅄</m:t>
                </m:r>
                <m:r>
                  <m:rPr>
                    <m:sty m:val="p"/>
                  </m:rPr>
                  <w:rPr>
                    <w:rFonts w:ascii="Cambria Math" w:eastAsia="MS Mincho" w:hAnsi="Cambria Math"/>
                    <w:spacing w:val="-1"/>
                  </w:rPr>
                  <m:t>T</m:t>
                </m:r>
              </m:sup>
            </m:sSup>
            <m:r>
              <m:rPr>
                <m:sty m:val="p"/>
              </m:rPr>
              <w:rPr>
                <w:rFonts w:eastAsia="MS Mincho"/>
                <w:spacing w:val="-1"/>
              </w:rPr>
              <m:t>-</m:t>
            </m:r>
            <m:r>
              <m:rPr>
                <m:sty m:val="p"/>
              </m:rPr>
              <w:rPr>
                <w:rFonts w:ascii="Cambria Math" w:eastAsia="MS Mincho"/>
                <w:spacing w:val="-1"/>
              </w:rPr>
              <m:t>1)/</m:t>
            </m:r>
            <m:r>
              <m:rPr>
                <m:sty m:val="p"/>
              </m:rPr>
              <w:rPr>
                <w:rFonts w:eastAsia="MS Mincho" w:hAnsi="Cambria Math"/>
                <w:spacing w:val="-1"/>
              </w:rPr>
              <m:t>⅄</m:t>
            </m:r>
          </m:den>
        </m:f>
      </m:oMath>
      <w:r w:rsidRPr="0041158B">
        <w:rPr>
          <w:rFonts w:eastAsia="MS Mincho"/>
          <w:spacing w:val="-1"/>
        </w:rPr>
        <w:t xml:space="preserve">  </w:t>
      </w:r>
      <w:r w:rsidRPr="0041158B">
        <w:rPr>
          <w:rFonts w:eastAsia="MS Mincho"/>
          <w:spacing w:val="-1"/>
        </w:rPr>
        <w:tab/>
      </w:r>
      <w:r w:rsidRPr="0041158B">
        <w:rPr>
          <w:rFonts w:eastAsia="MS Mincho"/>
          <w:spacing w:val="-1"/>
        </w:rPr>
        <w:tab/>
        <w:t>(2)</w:t>
      </w:r>
    </w:p>
    <w:p w:rsidR="00D52D93" w:rsidRPr="0041158B" w:rsidRDefault="00D52D93" w:rsidP="00057168">
      <w:pPr>
        <w:spacing w:line="228" w:lineRule="auto"/>
        <w:ind w:firstLine="720"/>
        <w:jc w:val="both"/>
        <w:rPr>
          <w:rFonts w:eastAsia="MS Mincho"/>
          <w:spacing w:val="-1"/>
        </w:rPr>
      </w:pPr>
      <w:r w:rsidRPr="0041158B">
        <w:rPr>
          <w:rFonts w:eastAsia="MS Mincho"/>
          <w:spacing w:val="-1"/>
        </w:rPr>
        <w:t>where</w:t>
      </w:r>
      <w:r w:rsidRPr="00D52D93">
        <w:rPr>
          <w:rFonts w:eastAsia="MS Mincho"/>
          <w:spacing w:val="-1"/>
        </w:rPr>
        <w:t xml:space="preserve"> E</w:t>
      </w:r>
      <w:r w:rsidRPr="0041158B">
        <w:rPr>
          <w:rFonts w:eastAsia="MS Mincho"/>
          <w:spacing w:val="-1"/>
        </w:rPr>
        <w:t>A is exhalation rate in term of area, unit (Bq.m</w:t>
      </w:r>
      <w:r w:rsidRPr="00057168">
        <w:rPr>
          <w:rFonts w:eastAsia="MS Mincho"/>
          <w:spacing w:val="-1"/>
          <w:vertAlign w:val="superscript"/>
        </w:rPr>
        <w:t>-2</w:t>
      </w:r>
      <w:r w:rsidRPr="0041158B">
        <w:rPr>
          <w:rFonts w:eastAsia="MS Mincho"/>
          <w:spacing w:val="-1"/>
        </w:rPr>
        <w:t>.d</w:t>
      </w:r>
      <w:r w:rsidRPr="00057168">
        <w:rPr>
          <w:rFonts w:eastAsia="MS Mincho"/>
          <w:spacing w:val="-1"/>
          <w:vertAlign w:val="superscript"/>
        </w:rPr>
        <w:t>-1</w:t>
      </w:r>
      <w:r w:rsidRPr="0041158B">
        <w:rPr>
          <w:rFonts w:eastAsia="MS Mincho"/>
          <w:spacing w:val="-1"/>
        </w:rPr>
        <w:t xml:space="preserve">) and </w:t>
      </w:r>
      <w:r w:rsidRPr="00D52D93">
        <w:rPr>
          <w:rFonts w:eastAsia="MS Mincho"/>
          <w:spacing w:val="-1"/>
        </w:rPr>
        <w:t>E</w:t>
      </w:r>
      <w:r>
        <w:rPr>
          <w:rFonts w:eastAsia="MS Mincho"/>
          <w:spacing w:val="-1"/>
        </w:rPr>
        <w:t>M</w:t>
      </w:r>
      <w:r w:rsidRPr="0041158B">
        <w:rPr>
          <w:rFonts w:eastAsia="MS Mincho"/>
          <w:spacing w:val="-1"/>
        </w:rPr>
        <w:t xml:space="preserve"> is exhalation rate in term of mass, unit (Bq.kg</w:t>
      </w:r>
      <w:r w:rsidRPr="00D52D93">
        <w:rPr>
          <w:rFonts w:eastAsia="MS Mincho"/>
          <w:spacing w:val="-1"/>
        </w:rPr>
        <w:t>-1</w:t>
      </w:r>
      <w:r w:rsidRPr="0041158B">
        <w:rPr>
          <w:rFonts w:eastAsia="MS Mincho"/>
          <w:spacing w:val="-1"/>
        </w:rPr>
        <w:t>.h</w:t>
      </w:r>
      <w:r w:rsidRPr="00D52D93">
        <w:rPr>
          <w:rFonts w:eastAsia="MS Mincho"/>
          <w:spacing w:val="-1"/>
        </w:rPr>
        <w:t>-1</w:t>
      </w:r>
      <w:r w:rsidRPr="0041158B">
        <w:rPr>
          <w:rFonts w:eastAsia="MS Mincho"/>
          <w:spacing w:val="-1"/>
        </w:rPr>
        <w:t xml:space="preserve">), </w:t>
      </w:r>
      <w:proofErr w:type="spellStart"/>
      <w:r w:rsidRPr="00D52D93">
        <w:rPr>
          <w:rFonts w:eastAsia="MS Mincho"/>
          <w:spacing w:val="-1"/>
        </w:rPr>
        <w:t>C</w:t>
      </w:r>
      <w:r w:rsidRPr="0041158B">
        <w:rPr>
          <w:rFonts w:eastAsia="MS Mincho"/>
          <w:spacing w:val="-1"/>
        </w:rPr>
        <w:t>Rn</w:t>
      </w:r>
      <w:proofErr w:type="spellEnd"/>
      <w:r w:rsidRPr="0041158B">
        <w:rPr>
          <w:rFonts w:eastAsia="MS Mincho"/>
          <w:spacing w:val="-1"/>
        </w:rPr>
        <w:t xml:space="preserve"> is radon concentration calculated by RAD7 detector in a unit (</w:t>
      </w:r>
      <w:proofErr w:type="spellStart"/>
      <w:r w:rsidRPr="0041158B">
        <w:rPr>
          <w:rFonts w:eastAsia="MS Mincho"/>
          <w:spacing w:val="-1"/>
        </w:rPr>
        <w:t>Bq</w:t>
      </w:r>
      <w:proofErr w:type="spellEnd"/>
      <w:r w:rsidRPr="0041158B">
        <w:rPr>
          <w:rFonts w:eastAsia="MS Mincho"/>
          <w:spacing w:val="-1"/>
        </w:rPr>
        <w:t>/m</w:t>
      </w:r>
      <w:r w:rsidRPr="00057168">
        <w:rPr>
          <w:rFonts w:eastAsia="MS Mincho"/>
          <w:spacing w:val="-1"/>
          <w:vertAlign w:val="superscript"/>
        </w:rPr>
        <w:t>3</w:t>
      </w:r>
      <w:r w:rsidRPr="0041158B">
        <w:rPr>
          <w:rFonts w:eastAsia="MS Mincho"/>
          <w:spacing w:val="-1"/>
        </w:rPr>
        <w:t>),  (</w:t>
      </w:r>
      <w:r w:rsidR="00057168">
        <w:rPr>
          <w:rFonts w:ascii="Cambria Math" w:eastAsia="MS Mincho" w:hAnsi="Cambria Math"/>
          <w:spacing w:val="-1"/>
        </w:rPr>
        <w:t>⅄</w:t>
      </w:r>
      <w:r w:rsidRPr="0041158B">
        <w:rPr>
          <w:rFonts w:eastAsia="MS Mincho"/>
          <w:spacing w:val="-1"/>
        </w:rPr>
        <w:t>=7.56x10</w:t>
      </w:r>
      <w:r w:rsidRPr="00057168">
        <w:rPr>
          <w:rFonts w:eastAsia="MS Mincho"/>
          <w:spacing w:val="-1"/>
          <w:vertAlign w:val="superscript"/>
        </w:rPr>
        <w:t>-3</w:t>
      </w:r>
      <w:r w:rsidRPr="0041158B">
        <w:rPr>
          <w:rFonts w:eastAsia="MS Mincho"/>
          <w:spacing w:val="-1"/>
        </w:rPr>
        <w:t xml:space="preserve"> h</w:t>
      </w:r>
      <w:r w:rsidRPr="00057168">
        <w:rPr>
          <w:rFonts w:eastAsia="MS Mincho"/>
          <w:spacing w:val="-1"/>
          <w:vertAlign w:val="superscript"/>
        </w:rPr>
        <w:t>-1</w:t>
      </w:r>
      <w:r w:rsidRPr="0041158B">
        <w:rPr>
          <w:rFonts w:eastAsia="MS Mincho"/>
          <w:spacing w:val="-1"/>
        </w:rPr>
        <w:t xml:space="preserve">) is a constant of radon decay, </w:t>
      </w:r>
      <w:r w:rsidRPr="00D52D93">
        <w:rPr>
          <w:rFonts w:eastAsia="MS Mincho"/>
          <w:spacing w:val="-1"/>
        </w:rPr>
        <w:t>T</w:t>
      </w:r>
      <w:r w:rsidRPr="0041158B">
        <w:rPr>
          <w:rFonts w:eastAsia="MS Mincho"/>
          <w:spacing w:val="-1"/>
        </w:rPr>
        <w:t xml:space="preserve"> is the exposure time in hours (h),</w:t>
      </w:r>
      <w:r w:rsidRPr="00D52D93">
        <w:rPr>
          <w:rFonts w:eastAsia="MS Mincho"/>
          <w:spacing w:val="-1"/>
        </w:rPr>
        <w:t xml:space="preserve"> V</w:t>
      </w:r>
      <w:r w:rsidRPr="0041158B">
        <w:rPr>
          <w:rFonts w:eastAsia="MS Mincho"/>
          <w:spacing w:val="-1"/>
        </w:rPr>
        <w:t xml:space="preserve"> is the volume of the can equal (0.001192 m</w:t>
      </w:r>
      <w:r w:rsidRPr="007D6C50">
        <w:rPr>
          <w:rFonts w:eastAsia="MS Mincho"/>
          <w:spacing w:val="-1"/>
          <w:vertAlign w:val="superscript"/>
        </w:rPr>
        <w:t>3</w:t>
      </w:r>
      <w:r w:rsidRPr="0041158B">
        <w:rPr>
          <w:rFonts w:eastAsia="MS Mincho"/>
          <w:spacing w:val="-1"/>
        </w:rPr>
        <w:t xml:space="preserve">) and </w:t>
      </w:r>
      <w:r w:rsidRPr="00D52D93">
        <w:rPr>
          <w:rFonts w:eastAsia="MS Mincho"/>
          <w:spacing w:val="-1"/>
        </w:rPr>
        <w:t>S</w:t>
      </w:r>
      <w:r w:rsidRPr="0041158B">
        <w:rPr>
          <w:rFonts w:eastAsia="MS Mincho"/>
          <w:spacing w:val="-1"/>
        </w:rPr>
        <w:t xml:space="preserve"> is the surface area equal (0.003847 m</w:t>
      </w:r>
      <w:r w:rsidRPr="007D6C50">
        <w:rPr>
          <w:rFonts w:eastAsia="MS Mincho"/>
          <w:spacing w:val="-1"/>
          <w:vertAlign w:val="superscript"/>
        </w:rPr>
        <w:t>2</w:t>
      </w:r>
      <w:r w:rsidRPr="0041158B">
        <w:rPr>
          <w:rFonts w:eastAsia="MS Mincho"/>
          <w:spacing w:val="-1"/>
        </w:rPr>
        <w:t>) of sample in the can.</w:t>
      </w:r>
    </w:p>
    <w:p w:rsidR="00D52D93" w:rsidRDefault="00D52D93" w:rsidP="007D31B3">
      <w:pPr>
        <w:spacing w:line="228" w:lineRule="auto"/>
        <w:ind w:firstLine="720"/>
        <w:jc w:val="both"/>
        <w:rPr>
          <w:rFonts w:eastAsia="MS Mincho"/>
          <w:spacing w:val="-1"/>
        </w:rPr>
      </w:pPr>
      <w:r w:rsidRPr="0041158B">
        <w:rPr>
          <w:rFonts w:eastAsia="MS Mincho"/>
          <w:spacing w:val="-1"/>
        </w:rPr>
        <w:t xml:space="preserve">The setup RAD7 on four-cycle mode, the data are stored in the internal memory via using starting protocol of 2-days test. The saved value depends on the average gas </w:t>
      </w:r>
      <w:r w:rsidRPr="0041158B">
        <w:rPr>
          <w:rFonts w:eastAsia="MS Mincho"/>
          <w:spacing w:val="-1"/>
        </w:rPr>
        <w:lastRenderedPageBreak/>
        <w:t xml:space="preserve">concentration of radon during each break time. A suitable data get out via the attachment unit of a printer to printout needed to be stored memory </w:t>
      </w:r>
      <w:r>
        <w:rPr>
          <w:rFonts w:eastAsia="MS Mincho"/>
          <w:spacing w:val="-1"/>
        </w:rPr>
        <w:t>data.</w:t>
      </w:r>
      <w:r w:rsidRPr="0041158B">
        <w:rPr>
          <w:rFonts w:eastAsia="MS Mincho"/>
          <w:spacing w:val="-1"/>
        </w:rPr>
        <w:t xml:space="preserve"> </w:t>
      </w:r>
    </w:p>
    <w:p w:rsidR="004803CC" w:rsidRPr="00F520C2" w:rsidRDefault="00D52D93" w:rsidP="00D513FC">
      <w:pPr>
        <w:pStyle w:val="ETASRHeading1"/>
        <w:numPr>
          <w:ilvl w:val="0"/>
          <w:numId w:val="10"/>
        </w:numPr>
        <w:contextualSpacing/>
      </w:pPr>
      <w:r w:rsidRPr="00F520C2">
        <w:t xml:space="preserve">Result and discussion </w:t>
      </w:r>
    </w:p>
    <w:p w:rsidR="004803CC" w:rsidRPr="00F520C2" w:rsidRDefault="004803CC" w:rsidP="00033C3E">
      <w:pPr>
        <w:pStyle w:val="ETASRbodytext"/>
        <w:ind w:firstLine="0"/>
      </w:pPr>
      <w:r w:rsidRPr="00F520C2">
        <w:t xml:space="preserve">The statistics of the concentration of radon into different depths and formation of </w:t>
      </w:r>
      <w:proofErr w:type="spellStart"/>
      <w:r w:rsidRPr="00F520C2">
        <w:t>Tawke</w:t>
      </w:r>
      <w:proofErr w:type="spellEnd"/>
      <w:r w:rsidRPr="00F520C2">
        <w:t xml:space="preserve"> area location  and the soil from different location that contain the formation layers, shows that in different depth have different ratios of the radioactive radon gas and the results with compared with surface formation location. In both data was sheered with same formation was upper and lower </w:t>
      </w:r>
      <w:proofErr w:type="spellStart"/>
      <w:r w:rsidRPr="00F520C2">
        <w:t>Faris</w:t>
      </w:r>
      <w:proofErr w:type="spellEnd"/>
      <w:r w:rsidRPr="00F520C2">
        <w:t xml:space="preserve"> which was the measurement near to each others, but the surface formation in general was recorded higher than the depth location. The high rate was recorded in the depth of (1100) meter </w:t>
      </w:r>
      <w:bookmarkStart w:id="41" w:name="OLE_LINK20"/>
      <w:bookmarkStart w:id="42" w:name="OLE_LINK21"/>
      <w:r w:rsidRPr="00F520C2">
        <w:t xml:space="preserve">named </w:t>
      </w:r>
      <w:bookmarkEnd w:id="41"/>
      <w:bookmarkEnd w:id="42"/>
      <w:r w:rsidRPr="00F520C2">
        <w:t xml:space="preserve">(Euphrates formation) and </w:t>
      </w:r>
      <w:proofErr w:type="spellStart"/>
      <w:r w:rsidRPr="00F520C2">
        <w:t>Khormala</w:t>
      </w:r>
      <w:proofErr w:type="spellEnd"/>
      <w:r w:rsidRPr="00F520C2">
        <w:t xml:space="preserve"> Formation , but the low ratio was recorded in the depth of (1900) meter named (</w:t>
      </w:r>
      <w:proofErr w:type="spellStart"/>
      <w:r w:rsidRPr="00F520C2">
        <w:t>Kolosh</w:t>
      </w:r>
      <w:proofErr w:type="spellEnd"/>
      <w:r w:rsidRPr="00F520C2">
        <w:t xml:space="preserve"> formation ) and </w:t>
      </w:r>
      <w:proofErr w:type="spellStart"/>
      <w:r w:rsidRPr="00F520C2">
        <w:t>Jurbi</w:t>
      </w:r>
      <w:proofErr w:type="spellEnd"/>
      <w:r w:rsidRPr="00F520C2">
        <w:t xml:space="preserve"> formation, by value 93.25±19.72, 137±8.76 and 14.12±8.59, 16±4.24 Bq.m</w:t>
      </w:r>
      <w:r w:rsidRPr="007D6C50">
        <w:rPr>
          <w:vertAlign w:val="superscript"/>
        </w:rPr>
        <w:t>-3</w:t>
      </w:r>
      <w:r w:rsidRPr="00F520C2">
        <w:t xml:space="preserve">, respectively. </w:t>
      </w:r>
      <w:bookmarkStart w:id="43" w:name="OLE_LINK38"/>
      <w:bookmarkStart w:id="44" w:name="OLE_LINK39"/>
      <w:r w:rsidRPr="00F520C2">
        <w:t>The mean of radon gets via RAD7 monitor, about to (44.53+9.52, 58.60±</w:t>
      </w:r>
      <w:proofErr w:type="gramStart"/>
      <w:r w:rsidRPr="00F520C2">
        <w:t xml:space="preserve">9.34  </w:t>
      </w:r>
      <w:proofErr w:type="spellStart"/>
      <w:r w:rsidRPr="00F520C2">
        <w:t>Bq</w:t>
      </w:r>
      <w:proofErr w:type="spellEnd"/>
      <w:proofErr w:type="gramEnd"/>
      <w:r w:rsidRPr="00F520C2">
        <w:t>/m</w:t>
      </w:r>
      <w:r w:rsidRPr="007D6C50">
        <w:rPr>
          <w:vertAlign w:val="superscript"/>
        </w:rPr>
        <w:t>3</w:t>
      </w:r>
      <w:r w:rsidRPr="00F520C2">
        <w:t>). Results of all data with chart displayed via Figure (2).There are many factors are be reasonable to be released radon from soil and rocks, as of permeability, moisture, porosity, content, CO2 concentration into the soil, temperature, and atmospheric affection as of pressure. Maybe each location include specific distinctive soil properties also the rocks, so the evaluated be accordingly</w:t>
      </w:r>
      <w:r w:rsidR="00D43566" w:rsidRPr="00F520C2">
        <w:fldChar w:fldCharType="begin" w:fldLock="1"/>
      </w:r>
      <w:r w:rsidRPr="00F520C2">
        <w:instrText>ADDIN CSL_CITATION {"citationItems":[{"id":"ITEM-1","itemData":{"DOI":"http://dx.doi.org/10.1016/j.physletb.2015.02.036","ISSN":"0370-2693","abstract":"Abstract We address the question of unlikeness of R 2 - and Higgs inflations exhibiting exponentially flat potentials and hence apparently violating the inherent in a chaotic inflation initial condition when kinetic, gradient and potential terms are all of order one in Planck units. Placing the initial conditions in the Jourdan frame we find both models not worse than any other models with unbounded from above potentials: the terms in the Einstein frame are all of the same order, though appropriately smaller. ","author":[{"dropping-particle":"","family":"Alharbi","given":"Wedad Reif","non-dropping-particle":"","parse-names":false,"suffix":""}],"container-title":"Natural Science","id":"ITEM-1","issue":"01","issued":{"date-parts":[["2013"]]},"page":"93-98","title":"Measurement of radon concentrations in soil and the extent of their impact on the environment from Al-Qassim, Saudi Arabia","type":"article-journal","volume":"05"},"uris":["http://www.mendeley.com/documents/?uuid=2e818f07-d2f0-4246-9462-0c51708ddf68"]}],"mendeley":{"formattedCitation":"[3]","plainTextFormattedCitation":"[3]","previouslyFormattedCitation":"[3]"},"properties":{"noteIndex":0},"schema":"https://github.com/citation-style-language/schema/raw/master/csl-citation.json"}</w:instrText>
      </w:r>
      <w:r w:rsidR="00D43566" w:rsidRPr="00F520C2">
        <w:fldChar w:fldCharType="separate"/>
      </w:r>
      <w:r w:rsidRPr="00F520C2">
        <w:t>[3]</w:t>
      </w:r>
      <w:r w:rsidR="00D43566" w:rsidRPr="00F520C2">
        <w:fldChar w:fldCharType="end"/>
      </w:r>
      <w:r w:rsidRPr="00F520C2">
        <w:t>.</w:t>
      </w:r>
      <w:bookmarkEnd w:id="43"/>
      <w:bookmarkEnd w:id="44"/>
      <w:r w:rsidRPr="00F520C2">
        <w:t xml:space="preserve"> Under the earth there is radon movement, this movement depends on compaction, brittle, </w:t>
      </w:r>
      <w:proofErr w:type="spellStart"/>
      <w:r w:rsidRPr="00F520C2">
        <w:t>lithology</w:t>
      </w:r>
      <w:proofErr w:type="spellEnd"/>
      <w:r w:rsidRPr="00F520C2">
        <w:t>, porosity, and in tectonic skin as of faults, joints also thrust</w:t>
      </w:r>
      <w:r w:rsidR="00D43566" w:rsidRPr="00F520C2">
        <w:fldChar w:fldCharType="begin" w:fldLock="1"/>
      </w:r>
      <w:r w:rsidRPr="00F520C2">
        <w:instrText>ADDIN CSL_CITATION {"citationItems":[{"id":"ITEM-1","itemData":{"author":[{"dropping-particle":"","family":"Pradesh","given":"Himachal","non-dropping-particle":"","parse-names":false,"suffix":""}],"id":"ITEM-1","issue":"2","issued":{"date-parts":[["1997"]]},"page":"139-147","title":"Geology of Radon Occurrence Around Jari in Parvati","type":"article-journal","volume":"34"},"uris":["http://www.mendeley.com/documents/?uuid=ed9ae517-33cc-484d-82d7-7192b69122b3"]}],"mendeley":{"formattedCitation":"[8]","plainTextFormattedCitation":"[8]","previouslyFormattedCitation":"[8]"},"properties":{"noteIndex":0},"schema":"https://github.com/citation-style-language/schema/raw/master/csl-citation.json"}</w:instrText>
      </w:r>
      <w:r w:rsidR="00D43566" w:rsidRPr="00F520C2">
        <w:fldChar w:fldCharType="separate"/>
      </w:r>
      <w:r w:rsidRPr="00F520C2">
        <w:t>[8]</w:t>
      </w:r>
      <w:r w:rsidR="00D43566" w:rsidRPr="00F520C2">
        <w:fldChar w:fldCharType="end"/>
      </w:r>
      <w:r w:rsidR="00D43566" w:rsidRPr="00F520C2">
        <w:fldChar w:fldCharType="begin" w:fldLock="1"/>
      </w:r>
      <w:r w:rsidRPr="00F520C2">
        <w:instrText>ADDIN CSL_CITATION {"citationItems":[{"id":"ITEM-1","itemData":{"DOI":"10.1007/s12040-014-0473-5","ISSN":"0973774X","author":[{"dropping-particle":"","family":"Mehra","given":"Rohit","non-dropping-particle":"","parse-names":false,"suffix":""}],"container-title":"Journal of Earth System Science","id":"ITEM-1","issue":"6","issued":{"date-parts":[["2014"]]},"page":"1241-1247","title":"Measurement of soil-gas radon in some areas of northern Rajasthan, India","type":"article-journal","volume":"123"},"uris":["http://www.mendeley.com/documents/?uuid=24391905-8289-4f11-8038-673b0d10a262"]}],"mendeley":{"formattedCitation":"[9]","plainTextFormattedCitation":"[9]","previouslyFormattedCitation":"[9]"},"properties":{"noteIndex":0},"schema":"https://github.com/citation-style-language/schema/raw/master/csl-citation.json"}</w:instrText>
      </w:r>
      <w:r w:rsidR="00D43566" w:rsidRPr="00F520C2">
        <w:fldChar w:fldCharType="separate"/>
      </w:r>
      <w:r w:rsidRPr="00F520C2">
        <w:t>[9]</w:t>
      </w:r>
      <w:r w:rsidR="00D43566" w:rsidRPr="00F520C2">
        <w:fldChar w:fldCharType="end"/>
      </w:r>
      <w:r w:rsidRPr="00F520C2">
        <w:t xml:space="preserve">. </w:t>
      </w:r>
      <w:bookmarkStart w:id="45" w:name="OLE_LINK62"/>
      <w:bookmarkStart w:id="46" w:name="OLE_LINK63"/>
      <w:r w:rsidRPr="00F520C2">
        <w:t xml:space="preserve">The raises of Radon gas emission caused by soil moisture, but if there is a saturation of soil pores, the emission will be inhibited.  </w:t>
      </w:r>
      <w:bookmarkEnd w:id="45"/>
      <w:bookmarkEnd w:id="46"/>
      <w:r w:rsidRPr="00F520C2">
        <w:t xml:space="preserve">The carbon dioxide behaves is as of carrier gas for the radon into the soil, cause to enhance the </w:t>
      </w:r>
      <w:r w:rsidRPr="007D6C50">
        <w:rPr>
          <w:vertAlign w:val="superscript"/>
        </w:rPr>
        <w:t>222</w:t>
      </w:r>
      <w:r w:rsidR="007D6C50">
        <w:t>-</w:t>
      </w:r>
      <w:r w:rsidRPr="00F520C2">
        <w:t>Rn concentration into the soil atmosphere</w:t>
      </w:r>
      <w:r w:rsidR="00D43566" w:rsidRPr="00F520C2">
        <w:fldChar w:fldCharType="begin" w:fldLock="1"/>
      </w:r>
      <w:r w:rsidRPr="00F520C2">
        <w:instrText>ADDIN CSL_CITATION {"citationItems":[{"id":"ITEM-1","itemData":{"DOI":"10.1144/GSL.QJEG.1991.024.02.01","ISBN":"0481-2085","ISSN":"1470-9236","abstract":"A review of the behaviour of radon in the geological environment is presented. The general geochemistry of the element is described and the factors controlling its emanation from minerals and rocks and into the disperse phases itemized. A brief summary of analytical procedures for the analysis of the radon isotopes in waters and soil gases is given. The emanation of radon depends upon the source term uranium concentration, the nature of the host mineralogy, the permeability of the host rock and soil and the characteristics of the transporting medium. Weather can have a profound effect upon the concentration of radon in soil gas but often the variation due to the geological substrate is greater. Radon is not a problem unless it collects in buildings and underground structures. Some guidelines are given for identifying areas of high radon emanation based upon existing data sets.","author":[{"dropping-particle":"","family":"Ball","given":"T. K.","non-dropping-particle":"","parse-names":false,"suffix":""},{"dropping-particle":"","family":"Cameron","given":"D. G.","non-dropping-particle":"","parse-names":false,"suffix":""},{"dropping-particle":"","family":"Colman","given":"T. B.","non-dropping-particle":"","parse-names":false,"suffix":""},{"dropping-particle":"","family":"Roberts","given":"P. D.","non-dropping-particle":"","parse-names":false,"suffix":""}],"container-title":"Quarterly Journal of Engineering Geology and Hydrogeology","id":"ITEM-1","issue":"2","issued":{"date-parts":[["1991"]]},"page":"169-182","title":"Behaviour of radon in the geological environment: a review","type":"article-journal","volume":"24"},"uris":["http://www.mendeley.com/documents/?uuid=1fd6e12e-889d-4f6d-96ef-268e53cddda3"]}],"mendeley":{"formattedCitation":"[10]","plainTextFormattedCitation":"[10]","previouslyFormattedCitation":"[10]"},"properties":{"noteIndex":0},"schema":"https://github.com/citation-style-language/schema/raw/master/csl-citation.json"}</w:instrText>
      </w:r>
      <w:r w:rsidR="00D43566" w:rsidRPr="00F520C2">
        <w:fldChar w:fldCharType="separate"/>
      </w:r>
      <w:r w:rsidRPr="00F520C2">
        <w:t>[10]</w:t>
      </w:r>
      <w:r w:rsidR="00D43566" w:rsidRPr="00F520C2">
        <w:fldChar w:fldCharType="end"/>
      </w:r>
      <w:r w:rsidRPr="00F520C2">
        <w:t>. In the studied samples demonstrate the maximum radon concentrate level acceptable into soil is (0.40 to 4.0 kBq.m</w:t>
      </w:r>
      <w:r w:rsidRPr="007D6C50">
        <w:rPr>
          <w:vertAlign w:val="superscript"/>
        </w:rPr>
        <w:t>-3</w:t>
      </w:r>
      <w:r w:rsidRPr="00F520C2">
        <w:t xml:space="preserve"> )</w:t>
      </w:r>
      <w:r w:rsidR="00D43566" w:rsidRPr="00F520C2">
        <w:fldChar w:fldCharType="begin" w:fldLock="1"/>
      </w:r>
      <w:r w:rsidRPr="00F520C2">
        <w:instrText>ADDIN CSL_CITATION {"citationItems":[{"id":"ITEM-1","itemData":{"author":[{"dropping-particle":"","family":"Al-hamidawi","given":"Ali A","non-dropping-particle":"","parse-names":false,"suffix":""},{"dropping-particle":"","family":"Jabar","given":"Qassim S","non-dropping-particle":"","parse-names":false,"suffix":""},{"dropping-particle":"Al","family":"Mashhadani","given":"Asia H","non-dropping-particle":"","parse-names":false,"suffix":""},{"dropping-particle":"Al","family":"Bayati","given":"Abdulhussan A","non-dropping-particle":"","parse-names":false,"suffix":""}],"container-title":"Iraqi Journal of Physics","id":"ITEM-1","issue":"19","issued":{"date-parts":[["2012"]]},"page":"110-116","title":"Measurement of Radon and Thoron Concentrations of Soil- Gas in Al-Kufa City using RAD-7 Detector","type":"article-journal","volume":"10"},"uris":["http://www.mendeley.com/documents/?uuid=94b5bc82-6d66-465d-b03a-7e7c035c5ab1"]}],"mendeley":{"formattedCitation":"[11]","plainTextFormattedCitation":"[11]","previouslyFormattedCitation":"[11]"},"properties":{"noteIndex":0},"schema":"https://github.com/citation-style-language/schema/raw/master/csl-citation.json"}</w:instrText>
      </w:r>
      <w:r w:rsidR="00D43566" w:rsidRPr="00F520C2">
        <w:fldChar w:fldCharType="separate"/>
      </w:r>
      <w:r w:rsidRPr="00F520C2">
        <w:t>[11]</w:t>
      </w:r>
      <w:r w:rsidR="00D43566" w:rsidRPr="00F520C2">
        <w:fldChar w:fldCharType="end"/>
      </w:r>
      <w:r w:rsidRPr="00F520C2">
        <w:t>.</w:t>
      </w:r>
    </w:p>
    <w:p w:rsidR="004803CC" w:rsidRDefault="004803CC" w:rsidP="00033C3E">
      <w:pPr>
        <w:pStyle w:val="ETASRbodytext"/>
        <w:ind w:firstLine="0"/>
      </w:pPr>
      <w:r w:rsidRPr="00F520C2">
        <w:t xml:space="preserve">Through the table (3)  comparing this study results with the result of world radon concentration and exhalation, the present study shows that the radon rate was higher than the study done in Iraq- Kurdistan, </w:t>
      </w:r>
      <w:proofErr w:type="spellStart"/>
      <w:r w:rsidRPr="00F520C2">
        <w:t>Eygept</w:t>
      </w:r>
      <w:proofErr w:type="spellEnd"/>
      <w:r w:rsidRPr="00F520C2">
        <w:t xml:space="preserve"> and India, while less than the Iraq- Baghdad and Iraq-Erbil study, but with range of </w:t>
      </w:r>
      <w:proofErr w:type="spellStart"/>
      <w:r w:rsidRPr="00F520C2">
        <w:t>Sudi</w:t>
      </w:r>
      <w:proofErr w:type="spellEnd"/>
      <w:r w:rsidRPr="00F520C2">
        <w:t>-Arabia, still this value lower than the acceptable level mentioned in EPA should be less than 300 Bq.m</w:t>
      </w:r>
      <w:r w:rsidRPr="007D6C50">
        <w:rPr>
          <w:vertAlign w:val="superscript"/>
        </w:rPr>
        <w:t>-3</w:t>
      </w:r>
      <w:r w:rsidRPr="00F520C2">
        <w:t xml:space="preserve"> </w:t>
      </w:r>
      <w:r w:rsidR="00D43566" w:rsidRPr="00F520C2">
        <w:fldChar w:fldCharType="begin" w:fldLock="1"/>
      </w:r>
      <w:r w:rsidRPr="00F520C2">
        <w:instrText>ADDIN CSL_CITATION {"citationItems":[{"id":"ITEM-1","itemData":{"author":[{"dropping-particle":"","family":"(EPA)","given":"Environmental Protection Agency","non-dropping-particle":"","parse-names":false,"suffix":""}],"container-title":"Environmental Protection Agency (EPA)","id":"ITEM-1","issued":{"date-parts":[["0"]]},"publisher":"Environmental Protection Agency (EPA)","title":"Health Specialists - Environmental Protection Agency (EPA","type":"article-journal"},"uris":["http://www.mendeley.com/documents/?uuid=3d515ca6-e694-3912-9a56-42a88681b30b"]}],"mendeley":{"formattedCitation":"[12]","plainTextFormattedCitation":"[12]","previouslyFormattedCitation":"[12]"},"properties":{"noteIndex":0},"schema":"https://github.com/citation-style-language/schema/raw/master/csl-citation.json"}</w:instrText>
      </w:r>
      <w:r w:rsidR="00D43566" w:rsidRPr="00F520C2">
        <w:fldChar w:fldCharType="separate"/>
      </w:r>
      <w:r w:rsidRPr="00F520C2">
        <w:t>[12]</w:t>
      </w:r>
      <w:r w:rsidR="00D43566" w:rsidRPr="00F520C2">
        <w:fldChar w:fldCharType="end"/>
      </w:r>
      <w:r w:rsidRPr="00F520C2">
        <w:t>, but as of mass exhalation rate in Osaka, Japan and Catania, Italy the value of exhalation rate was under the average of this study, but also with the range of  Erbil, Iraq and India and the other was more than this study range, in general this results also less than mean world value which is (57600 mBq.m</w:t>
      </w:r>
      <w:r w:rsidRPr="007D6C50">
        <w:rPr>
          <w:vertAlign w:val="superscript"/>
        </w:rPr>
        <w:t>-2</w:t>
      </w:r>
      <w:r w:rsidRPr="00F520C2">
        <w:t>.h</w:t>
      </w:r>
      <w:r w:rsidRPr="007D6C50">
        <w:rPr>
          <w:vertAlign w:val="superscript"/>
        </w:rPr>
        <w:t>-1</w:t>
      </w:r>
      <w:r w:rsidRPr="00F520C2">
        <w:t xml:space="preserve">) </w:t>
      </w:r>
      <w:r w:rsidR="00D43566" w:rsidRPr="00F520C2">
        <w:fldChar w:fldCharType="begin" w:fldLock="1"/>
      </w:r>
      <w:r w:rsidRPr="00F520C2">
        <w:instrText>ADDIN CSL_CITATION {"citationItems":[{"id":"ITEM-1","itemData":{"author":[{"dropping-particle":"","family":"M. H. WILKENING","given":"W. E. CLEMENTS and D. STANLEY","non-dropping-particle":"","parse-names":false,"suffix":""}],"container-title":"technical information service, Springfield","id":"ITEM-1","issued":{"date-parts":[["0"]]},"page":"II pp. 717- 730","title":"Radon-222 Flux Measurements in Widely Separated Regions, in the Natural Radiation Environment","type":"article-journal"},"uris":["http://www.mendeley.com/documents/?uuid=9ca8396e-1736-4de4-9247-6d221087d72b"]}],"mendeley":{"formattedCitation":"[13]","plainTextFormattedCitation":"[13]","previouslyFormattedCitation":"[13]"},"properties":{"noteIndex":0},"schema":"https://github.com/citation-style-language/schema/raw/master/csl-citation.json"}</w:instrText>
      </w:r>
      <w:r w:rsidR="00D43566" w:rsidRPr="00F520C2">
        <w:fldChar w:fldCharType="separate"/>
      </w:r>
      <w:r w:rsidRPr="00F520C2">
        <w:t>[13]</w:t>
      </w:r>
      <w:r w:rsidR="00D43566" w:rsidRPr="00F520C2">
        <w:fldChar w:fldCharType="end"/>
      </w:r>
      <w:r w:rsidRPr="00F520C2">
        <w:t>. In term of mass, this study results were near to India and Erbil, Iraq.</w:t>
      </w:r>
    </w:p>
    <w:bookmarkEnd w:id="12"/>
    <w:bookmarkEnd w:id="13"/>
    <w:p w:rsidR="004803CC" w:rsidRPr="00F520C2" w:rsidRDefault="004803CC" w:rsidP="004803CC">
      <w:pPr>
        <w:pStyle w:val="ETASRbodytext"/>
        <w:ind w:left="360" w:firstLine="0"/>
        <w:sectPr w:rsidR="004803CC" w:rsidRPr="00F520C2" w:rsidSect="00313098">
          <w:type w:val="continuous"/>
          <w:pgSz w:w="12240" w:h="15840" w:code="1"/>
          <w:pgMar w:top="1077" w:right="890" w:bottom="1440" w:left="890" w:header="720" w:footer="720" w:gutter="0"/>
          <w:cols w:num="2" w:space="357"/>
          <w:docGrid w:linePitch="360"/>
        </w:sectPr>
      </w:pPr>
      <w:r>
        <w:br w:type="column"/>
      </w:r>
      <w:bookmarkStart w:id="47" w:name="OLE_LINK26"/>
      <w:bookmarkStart w:id="48" w:name="OLE_LINK27"/>
      <w:r w:rsidR="007D31B3" w:rsidRPr="004803CC">
        <w:rPr>
          <w:noProof/>
        </w:rPr>
        <w:lastRenderedPageBreak/>
        <w:drawing>
          <wp:inline distT="0" distB="0" distL="0" distR="0">
            <wp:extent cx="2903055" cy="2325756"/>
            <wp:effectExtent l="19050" t="0" r="1159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52D93" w:rsidRPr="00FD4153" w:rsidRDefault="00D52D93" w:rsidP="004803CC">
      <w:pPr>
        <w:spacing w:line="228" w:lineRule="auto"/>
        <w:jc w:val="both"/>
        <w:rPr>
          <w:rFonts w:eastAsia="MS Mincho"/>
          <w:spacing w:val="-1"/>
          <w:sz w:val="2"/>
          <w:szCs w:val="2"/>
        </w:rPr>
      </w:pPr>
    </w:p>
    <w:p w:rsidR="0079728D" w:rsidRPr="00FD4153" w:rsidRDefault="004803CC" w:rsidP="00FD4153">
      <w:pPr>
        <w:spacing w:line="288" w:lineRule="auto"/>
        <w:jc w:val="left"/>
        <w:rPr>
          <w:rFonts w:cstheme="majorBidi"/>
          <w:color w:val="000002"/>
        </w:rPr>
      </w:pPr>
      <w:proofErr w:type="gramStart"/>
      <w:r w:rsidRPr="00FD4153">
        <w:rPr>
          <w:rFonts w:cstheme="majorBidi"/>
          <w:color w:val="000002"/>
        </w:rPr>
        <w:t>Fig. 2.</w:t>
      </w:r>
      <w:proofErr w:type="gramEnd"/>
      <w:r w:rsidRPr="00FD4153">
        <w:rPr>
          <w:rFonts w:cstheme="majorBidi"/>
          <w:color w:val="000002"/>
        </w:rPr>
        <w:t xml:space="preserve">  </w:t>
      </w:r>
      <w:proofErr w:type="gramStart"/>
      <w:r w:rsidRPr="00FD4153">
        <w:rPr>
          <w:rFonts w:cstheme="majorBidi"/>
          <w:color w:val="000002"/>
        </w:rPr>
        <w:t xml:space="preserve">Radon concentration in different depth and formation of soil </w:t>
      </w:r>
      <w:proofErr w:type="spellStart"/>
      <w:r w:rsidRPr="00FD4153">
        <w:rPr>
          <w:rFonts w:cstheme="majorBidi"/>
          <w:color w:val="000002"/>
        </w:rPr>
        <w:t>Bq</w:t>
      </w:r>
      <w:proofErr w:type="spellEnd"/>
      <w:r w:rsidRPr="00FD4153">
        <w:rPr>
          <w:rFonts w:cstheme="majorBidi"/>
          <w:color w:val="000002"/>
        </w:rPr>
        <w:t>/m3.</w:t>
      </w:r>
      <w:proofErr w:type="gramEnd"/>
    </w:p>
    <w:p w:rsidR="00033C3E" w:rsidRPr="00033C3E" w:rsidRDefault="00033C3E" w:rsidP="00033C3E">
      <w:pPr>
        <w:pStyle w:val="NoSpacing"/>
        <w:spacing w:before="360" w:after="40" w:line="228" w:lineRule="auto"/>
        <w:jc w:val="both"/>
        <w:rPr>
          <w:rFonts w:cstheme="majorBidi"/>
          <w:b w:val="0"/>
          <w:bCs/>
          <w:sz w:val="20"/>
          <w:szCs w:val="20"/>
        </w:rPr>
      </w:pPr>
      <w:proofErr w:type="gramStart"/>
      <w:r w:rsidRPr="003D5AE8">
        <w:rPr>
          <w:rFonts w:cstheme="majorBidi"/>
          <w:b w:val="0"/>
          <w:bCs/>
          <w:sz w:val="20"/>
          <w:szCs w:val="20"/>
        </w:rPr>
        <w:t>Table.</w:t>
      </w:r>
      <w:proofErr w:type="gramEnd"/>
      <w:r w:rsidRPr="003D5AE8">
        <w:rPr>
          <w:rFonts w:cstheme="majorBidi"/>
          <w:b w:val="0"/>
          <w:bCs/>
          <w:sz w:val="20"/>
          <w:szCs w:val="20"/>
        </w:rPr>
        <w:t xml:space="preserve"> 1. The radon (</w:t>
      </w:r>
      <w:r w:rsidRPr="003D5AE8">
        <w:rPr>
          <w:rFonts w:cstheme="majorBidi"/>
          <w:b w:val="0"/>
          <w:bCs/>
          <w:sz w:val="20"/>
          <w:szCs w:val="20"/>
          <w:vertAlign w:val="superscript"/>
        </w:rPr>
        <w:t>222</w:t>
      </w:r>
      <w:r>
        <w:rPr>
          <w:rFonts w:cstheme="majorBidi"/>
          <w:b w:val="0"/>
          <w:bCs/>
          <w:sz w:val="20"/>
          <w:szCs w:val="20"/>
          <w:vertAlign w:val="superscript"/>
        </w:rPr>
        <w:t>-</w:t>
      </w:r>
      <w:r w:rsidRPr="003D5AE8">
        <w:rPr>
          <w:rFonts w:cstheme="majorBidi"/>
          <w:b w:val="0"/>
          <w:bCs/>
          <w:sz w:val="20"/>
          <w:szCs w:val="20"/>
        </w:rPr>
        <w:t>Rn) concentration with its exhalation in different depth.</w:t>
      </w:r>
    </w:p>
    <w:tbl>
      <w:tblP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1416"/>
        <w:gridCol w:w="2554"/>
        <w:gridCol w:w="1276"/>
        <w:gridCol w:w="1416"/>
        <w:gridCol w:w="1559"/>
        <w:gridCol w:w="1276"/>
      </w:tblGrid>
      <w:tr w:rsidR="0079728D" w:rsidRPr="00A447BB" w:rsidTr="00057168">
        <w:trPr>
          <w:cantSplit/>
          <w:trHeight w:val="57"/>
        </w:trPr>
        <w:tc>
          <w:tcPr>
            <w:tcW w:w="266" w:type="pct"/>
            <w:shd w:val="clear" w:color="auto" w:fill="FFFFFF" w:themeFill="background1"/>
            <w:noWrap/>
            <w:vAlign w:val="center"/>
            <w:hideMark/>
          </w:tcPr>
          <w:bookmarkEnd w:id="47"/>
          <w:bookmarkEnd w:id="48"/>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w:t>
            </w:r>
          </w:p>
        </w:tc>
        <w:tc>
          <w:tcPr>
            <w:tcW w:w="706" w:type="pct"/>
            <w:shd w:val="clear" w:color="auto" w:fill="FFFFFF" w:themeFill="background1"/>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Depth</w:t>
            </w:r>
            <w:r w:rsidRPr="006C1D21">
              <w:rPr>
                <w:rFonts w:asciiTheme="majorBidi" w:eastAsia="Times New Roman" w:hAnsiTheme="majorBidi" w:cstheme="majorBidi"/>
                <w:color w:val="000000"/>
              </w:rPr>
              <w:br/>
              <w:t>meters</w:t>
            </w:r>
          </w:p>
        </w:tc>
        <w:tc>
          <w:tcPr>
            <w:tcW w:w="1273" w:type="pct"/>
            <w:shd w:val="clear" w:color="auto" w:fill="FFFFFF" w:themeFill="background1"/>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 xml:space="preserve"> Layer Name </w:t>
            </w:r>
          </w:p>
        </w:tc>
        <w:tc>
          <w:tcPr>
            <w:tcW w:w="636" w:type="pct"/>
            <w:shd w:val="clear" w:color="auto" w:fill="FFFFFF" w:themeFill="background1"/>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Weight gram</w:t>
            </w:r>
          </w:p>
        </w:tc>
        <w:tc>
          <w:tcPr>
            <w:tcW w:w="706" w:type="pct"/>
            <w:shd w:val="clear" w:color="auto" w:fill="FFFFFF" w:themeFill="background1"/>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222Rn+SD</w:t>
            </w:r>
          </w:p>
          <w:p w:rsidR="0079728D" w:rsidRPr="006C1D21" w:rsidRDefault="0079728D" w:rsidP="00057168">
            <w:pPr>
              <w:spacing w:line="288" w:lineRule="auto"/>
              <w:rPr>
                <w:rFonts w:asciiTheme="majorBidi" w:eastAsia="Times New Roman" w:hAnsiTheme="majorBidi" w:cstheme="majorBidi"/>
                <w:color w:val="000000"/>
              </w:rPr>
            </w:pPr>
            <w:proofErr w:type="spellStart"/>
            <w:r w:rsidRPr="006C1D21">
              <w:rPr>
                <w:rFonts w:asciiTheme="majorBidi" w:eastAsia="Times New Roman" w:hAnsiTheme="majorBidi" w:cstheme="majorBidi"/>
                <w:color w:val="000000"/>
              </w:rPr>
              <w:t>Bq</w:t>
            </w:r>
            <w:proofErr w:type="spellEnd"/>
            <w:r w:rsidRPr="006C1D21">
              <w:rPr>
                <w:rFonts w:asciiTheme="majorBidi" w:eastAsia="Times New Roman" w:hAnsiTheme="majorBidi" w:cstheme="majorBidi"/>
                <w:color w:val="000000"/>
              </w:rPr>
              <w:t>/m3</w:t>
            </w:r>
          </w:p>
        </w:tc>
        <w:tc>
          <w:tcPr>
            <w:tcW w:w="777" w:type="pct"/>
            <w:shd w:val="clear" w:color="auto" w:fill="FFFFFF" w:themeFill="background1"/>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Radon area</w:t>
            </w:r>
            <w:r w:rsidRPr="006C1D21">
              <w:rPr>
                <w:rFonts w:asciiTheme="majorBidi" w:eastAsia="Times New Roman" w:hAnsiTheme="majorBidi" w:cstheme="majorBidi"/>
                <w:color w:val="000000"/>
              </w:rPr>
              <w:br/>
              <w:t>mBq.m</w:t>
            </w:r>
            <w:r w:rsidRPr="006C1D21">
              <w:rPr>
                <w:rFonts w:asciiTheme="majorBidi" w:eastAsia="Times New Roman" w:hAnsiTheme="majorBidi" w:cstheme="majorBidi"/>
                <w:color w:val="000000"/>
                <w:vertAlign w:val="superscript"/>
              </w:rPr>
              <w:t>-2</w:t>
            </w:r>
            <w:r w:rsidRPr="006C1D21">
              <w:rPr>
                <w:rFonts w:asciiTheme="majorBidi" w:eastAsia="Times New Roman" w:hAnsiTheme="majorBidi" w:cstheme="majorBidi"/>
                <w:color w:val="000000"/>
              </w:rPr>
              <w:t>.h</w:t>
            </w:r>
            <w:r w:rsidRPr="006C1D21">
              <w:rPr>
                <w:rFonts w:asciiTheme="majorBidi" w:eastAsia="Times New Roman" w:hAnsiTheme="majorBidi" w:cstheme="majorBidi"/>
                <w:color w:val="000000"/>
                <w:vertAlign w:val="superscript"/>
              </w:rPr>
              <w:t>-1</w:t>
            </w:r>
          </w:p>
        </w:tc>
        <w:tc>
          <w:tcPr>
            <w:tcW w:w="637" w:type="pct"/>
            <w:shd w:val="clear" w:color="auto" w:fill="FFFFFF" w:themeFill="background1"/>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Radon mass</w:t>
            </w:r>
            <w:r w:rsidRPr="006C1D21">
              <w:rPr>
                <w:rFonts w:asciiTheme="majorBidi" w:eastAsia="Times New Roman" w:hAnsiTheme="majorBidi" w:cstheme="majorBidi"/>
                <w:color w:val="000000"/>
              </w:rPr>
              <w:br/>
              <w:t>mBq.kg</w:t>
            </w:r>
            <w:r w:rsidRPr="006C1D21">
              <w:rPr>
                <w:rFonts w:asciiTheme="majorBidi" w:eastAsia="Times New Roman" w:hAnsiTheme="majorBidi" w:cstheme="majorBidi"/>
                <w:color w:val="000000"/>
                <w:vertAlign w:val="superscript"/>
              </w:rPr>
              <w:t>-1</w:t>
            </w:r>
            <w:r w:rsidRPr="006C1D21">
              <w:rPr>
                <w:rFonts w:asciiTheme="majorBidi" w:eastAsia="Times New Roman" w:hAnsiTheme="majorBidi" w:cstheme="majorBidi"/>
                <w:color w:val="000000"/>
              </w:rPr>
              <w:t>.h</w:t>
            </w:r>
            <w:r w:rsidRPr="006C1D21">
              <w:rPr>
                <w:rFonts w:asciiTheme="majorBidi" w:eastAsia="Times New Roman" w:hAnsiTheme="majorBidi" w:cstheme="majorBidi"/>
                <w:color w:val="000000"/>
                <w:vertAlign w:val="superscript"/>
              </w:rPr>
              <w:t>-1</w:t>
            </w:r>
          </w:p>
        </w:tc>
      </w:tr>
      <w:tr w:rsidR="0079728D" w:rsidRPr="00A447BB" w:rsidTr="00057168">
        <w:trPr>
          <w:cantSplit/>
          <w:trHeight w:val="57"/>
        </w:trPr>
        <w:tc>
          <w:tcPr>
            <w:tcW w:w="26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surface</w:t>
            </w:r>
          </w:p>
        </w:tc>
        <w:tc>
          <w:tcPr>
            <w:tcW w:w="1273"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Surface area</w:t>
            </w:r>
          </w:p>
        </w:tc>
        <w:tc>
          <w:tcPr>
            <w:tcW w:w="63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126.34</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62±15.25</w:t>
            </w:r>
          </w:p>
        </w:tc>
        <w:tc>
          <w:tcPr>
            <w:tcW w:w="77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177.8±43.73</w:t>
            </w:r>
          </w:p>
        </w:tc>
        <w:tc>
          <w:tcPr>
            <w:tcW w:w="63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5.41±1.33</w:t>
            </w:r>
          </w:p>
        </w:tc>
      </w:tr>
      <w:tr w:rsidR="0079728D" w:rsidRPr="00A447BB" w:rsidTr="00057168">
        <w:trPr>
          <w:cantSplit/>
          <w:trHeight w:val="57"/>
        </w:trPr>
        <w:tc>
          <w:tcPr>
            <w:tcW w:w="26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2</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400</w:t>
            </w:r>
          </w:p>
        </w:tc>
        <w:tc>
          <w:tcPr>
            <w:tcW w:w="1273" w:type="pct"/>
            <w:shd w:val="clear" w:color="auto" w:fill="FFFFFF" w:themeFill="background1"/>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 xml:space="preserve"> Upper </w:t>
            </w:r>
            <w:proofErr w:type="spellStart"/>
            <w:r w:rsidRPr="006C1D21">
              <w:rPr>
                <w:rFonts w:asciiTheme="majorBidi" w:eastAsia="Times New Roman" w:hAnsiTheme="majorBidi" w:cstheme="majorBidi"/>
                <w:color w:val="000000"/>
              </w:rPr>
              <w:t>Faris</w:t>
            </w:r>
            <w:proofErr w:type="spellEnd"/>
            <w:r w:rsidRPr="006C1D21">
              <w:rPr>
                <w:rFonts w:asciiTheme="majorBidi" w:eastAsia="Times New Roman" w:hAnsiTheme="majorBidi" w:cstheme="majorBidi"/>
                <w:color w:val="000000"/>
              </w:rPr>
              <w:t xml:space="preserve"> </w:t>
            </w:r>
          </w:p>
        </w:tc>
        <w:tc>
          <w:tcPr>
            <w:tcW w:w="63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129.96</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85.25±7.18</w:t>
            </w:r>
          </w:p>
        </w:tc>
        <w:tc>
          <w:tcPr>
            <w:tcW w:w="77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244.48±20.59</w:t>
            </w:r>
          </w:p>
        </w:tc>
        <w:tc>
          <w:tcPr>
            <w:tcW w:w="63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7.24±0.61</w:t>
            </w:r>
          </w:p>
        </w:tc>
      </w:tr>
      <w:tr w:rsidR="0079728D" w:rsidRPr="00A447BB" w:rsidTr="00057168">
        <w:trPr>
          <w:cantSplit/>
          <w:trHeight w:val="57"/>
        </w:trPr>
        <w:tc>
          <w:tcPr>
            <w:tcW w:w="26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3</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500</w:t>
            </w:r>
          </w:p>
        </w:tc>
        <w:tc>
          <w:tcPr>
            <w:tcW w:w="1273" w:type="pct"/>
            <w:shd w:val="clear" w:color="auto" w:fill="FFFFFF" w:themeFill="background1"/>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 xml:space="preserve"> Sandston-</w:t>
            </w:r>
            <w:proofErr w:type="spellStart"/>
            <w:r w:rsidRPr="006C1D21">
              <w:rPr>
                <w:rFonts w:asciiTheme="majorBidi" w:eastAsia="Times New Roman" w:hAnsiTheme="majorBidi" w:cstheme="majorBidi"/>
                <w:color w:val="000000"/>
              </w:rPr>
              <w:t>clayston</w:t>
            </w:r>
            <w:proofErr w:type="spellEnd"/>
            <w:r w:rsidRPr="006C1D21">
              <w:rPr>
                <w:rFonts w:asciiTheme="majorBidi" w:eastAsia="Times New Roman" w:hAnsiTheme="majorBidi" w:cstheme="majorBidi"/>
                <w:color w:val="000000"/>
              </w:rPr>
              <w:t xml:space="preserve">-Upper </w:t>
            </w:r>
            <w:proofErr w:type="spellStart"/>
            <w:r w:rsidRPr="006C1D21">
              <w:rPr>
                <w:rFonts w:asciiTheme="majorBidi" w:eastAsia="Times New Roman" w:hAnsiTheme="majorBidi" w:cstheme="majorBidi"/>
                <w:color w:val="000000"/>
              </w:rPr>
              <w:t>Faris</w:t>
            </w:r>
            <w:proofErr w:type="spellEnd"/>
            <w:r w:rsidRPr="006C1D21">
              <w:rPr>
                <w:rFonts w:asciiTheme="majorBidi" w:eastAsia="Times New Roman" w:hAnsiTheme="majorBidi" w:cstheme="majorBidi"/>
                <w:color w:val="000000"/>
              </w:rPr>
              <w:t xml:space="preserve"> </w:t>
            </w:r>
          </w:p>
        </w:tc>
        <w:tc>
          <w:tcPr>
            <w:tcW w:w="636" w:type="pct"/>
            <w:shd w:val="clear" w:color="auto" w:fill="FFFFFF" w:themeFill="background1"/>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136.02</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66.25±3.77</w:t>
            </w:r>
          </w:p>
        </w:tc>
        <w:tc>
          <w:tcPr>
            <w:tcW w:w="77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189.99±10.81</w:t>
            </w:r>
          </w:p>
        </w:tc>
        <w:tc>
          <w:tcPr>
            <w:tcW w:w="63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5.37±0.31</w:t>
            </w:r>
          </w:p>
        </w:tc>
      </w:tr>
      <w:tr w:rsidR="0079728D" w:rsidRPr="00A447BB" w:rsidTr="00057168">
        <w:trPr>
          <w:cantSplit/>
          <w:trHeight w:val="57"/>
        </w:trPr>
        <w:tc>
          <w:tcPr>
            <w:tcW w:w="26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4</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600</w:t>
            </w:r>
          </w:p>
        </w:tc>
        <w:tc>
          <w:tcPr>
            <w:tcW w:w="1273" w:type="pct"/>
            <w:shd w:val="clear" w:color="auto" w:fill="FFFFFF" w:themeFill="background1"/>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 xml:space="preserve"> Sandston-</w:t>
            </w:r>
            <w:proofErr w:type="spellStart"/>
            <w:r w:rsidRPr="006C1D21">
              <w:rPr>
                <w:rFonts w:asciiTheme="majorBidi" w:eastAsia="Times New Roman" w:hAnsiTheme="majorBidi" w:cstheme="majorBidi"/>
                <w:color w:val="000000"/>
              </w:rPr>
              <w:t>clyston</w:t>
            </w:r>
            <w:proofErr w:type="spellEnd"/>
            <w:r w:rsidRPr="006C1D21">
              <w:rPr>
                <w:rFonts w:asciiTheme="majorBidi" w:eastAsia="Times New Roman" w:hAnsiTheme="majorBidi" w:cstheme="majorBidi"/>
                <w:color w:val="000000"/>
              </w:rPr>
              <w:t xml:space="preserve">- Upper </w:t>
            </w:r>
            <w:proofErr w:type="spellStart"/>
            <w:r w:rsidRPr="006C1D21">
              <w:rPr>
                <w:rFonts w:asciiTheme="majorBidi" w:eastAsia="Times New Roman" w:hAnsiTheme="majorBidi" w:cstheme="majorBidi"/>
                <w:color w:val="000000"/>
              </w:rPr>
              <w:t>Faris</w:t>
            </w:r>
            <w:proofErr w:type="spellEnd"/>
            <w:r w:rsidRPr="006C1D21">
              <w:rPr>
                <w:rFonts w:asciiTheme="majorBidi" w:eastAsia="Times New Roman" w:hAnsiTheme="majorBidi" w:cstheme="majorBidi"/>
                <w:color w:val="000000"/>
              </w:rPr>
              <w:t xml:space="preserve"> </w:t>
            </w:r>
          </w:p>
        </w:tc>
        <w:tc>
          <w:tcPr>
            <w:tcW w:w="636" w:type="pct"/>
            <w:shd w:val="clear" w:color="auto" w:fill="FFFFFF" w:themeFill="background1"/>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132.5</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40.75±21.72</w:t>
            </w:r>
          </w:p>
        </w:tc>
        <w:tc>
          <w:tcPr>
            <w:tcW w:w="77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116.86±62.29</w:t>
            </w:r>
          </w:p>
        </w:tc>
        <w:tc>
          <w:tcPr>
            <w:tcW w:w="63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3.39±1.81</w:t>
            </w:r>
          </w:p>
        </w:tc>
      </w:tr>
      <w:tr w:rsidR="0079728D" w:rsidRPr="00A447BB" w:rsidTr="00057168">
        <w:trPr>
          <w:cantSplit/>
          <w:trHeight w:val="57"/>
        </w:trPr>
        <w:tc>
          <w:tcPr>
            <w:tcW w:w="26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5</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700</w:t>
            </w:r>
          </w:p>
        </w:tc>
        <w:tc>
          <w:tcPr>
            <w:tcW w:w="1273" w:type="pct"/>
            <w:shd w:val="clear" w:color="auto" w:fill="FFFFFF" w:themeFill="background1"/>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 xml:space="preserve"> Sandston-</w:t>
            </w:r>
            <w:proofErr w:type="spellStart"/>
            <w:r w:rsidRPr="006C1D21">
              <w:rPr>
                <w:rFonts w:asciiTheme="majorBidi" w:eastAsia="Times New Roman" w:hAnsiTheme="majorBidi" w:cstheme="majorBidi"/>
                <w:color w:val="000000"/>
              </w:rPr>
              <w:t>clyston</w:t>
            </w:r>
            <w:proofErr w:type="spellEnd"/>
            <w:r w:rsidRPr="006C1D21">
              <w:rPr>
                <w:rFonts w:asciiTheme="majorBidi" w:eastAsia="Times New Roman" w:hAnsiTheme="majorBidi" w:cstheme="majorBidi"/>
                <w:color w:val="000000"/>
              </w:rPr>
              <w:t xml:space="preserve">- Upper </w:t>
            </w:r>
            <w:proofErr w:type="spellStart"/>
            <w:r w:rsidRPr="006C1D21">
              <w:rPr>
                <w:rFonts w:asciiTheme="majorBidi" w:eastAsia="Times New Roman" w:hAnsiTheme="majorBidi" w:cstheme="majorBidi"/>
                <w:color w:val="000000"/>
              </w:rPr>
              <w:t>Faris</w:t>
            </w:r>
            <w:proofErr w:type="spellEnd"/>
            <w:r w:rsidRPr="006C1D21">
              <w:rPr>
                <w:rFonts w:asciiTheme="majorBidi" w:eastAsia="Times New Roman" w:hAnsiTheme="majorBidi" w:cstheme="majorBidi"/>
                <w:color w:val="000000"/>
              </w:rPr>
              <w:t xml:space="preserve"> </w:t>
            </w:r>
          </w:p>
        </w:tc>
        <w:tc>
          <w:tcPr>
            <w:tcW w:w="636" w:type="pct"/>
            <w:shd w:val="clear" w:color="auto" w:fill="FFFFFF" w:themeFill="background1"/>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145.12</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52.2510.17</w:t>
            </w:r>
          </w:p>
        </w:tc>
        <w:tc>
          <w:tcPr>
            <w:tcW w:w="77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149.84±29.17</w:t>
            </w:r>
          </w:p>
        </w:tc>
        <w:tc>
          <w:tcPr>
            <w:tcW w:w="63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3.97±0.77</w:t>
            </w:r>
          </w:p>
        </w:tc>
      </w:tr>
      <w:tr w:rsidR="0079728D" w:rsidRPr="00A447BB" w:rsidTr="00057168">
        <w:trPr>
          <w:cantSplit/>
          <w:trHeight w:val="57"/>
        </w:trPr>
        <w:tc>
          <w:tcPr>
            <w:tcW w:w="26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6</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800</w:t>
            </w:r>
          </w:p>
        </w:tc>
        <w:tc>
          <w:tcPr>
            <w:tcW w:w="1273" w:type="pct"/>
            <w:shd w:val="clear" w:color="auto" w:fill="FFFFFF" w:themeFill="background1"/>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 xml:space="preserve"> Lower </w:t>
            </w:r>
            <w:proofErr w:type="spellStart"/>
            <w:r w:rsidRPr="006C1D21">
              <w:rPr>
                <w:rFonts w:asciiTheme="majorBidi" w:eastAsia="Times New Roman" w:hAnsiTheme="majorBidi" w:cstheme="majorBidi"/>
                <w:color w:val="000000"/>
              </w:rPr>
              <w:t>Faris</w:t>
            </w:r>
            <w:proofErr w:type="spellEnd"/>
            <w:r w:rsidRPr="006C1D21">
              <w:rPr>
                <w:rFonts w:asciiTheme="majorBidi" w:eastAsia="Times New Roman" w:hAnsiTheme="majorBidi" w:cstheme="majorBidi"/>
                <w:color w:val="000000"/>
              </w:rPr>
              <w:t xml:space="preserve"> </w:t>
            </w:r>
            <w:proofErr w:type="spellStart"/>
            <w:r w:rsidRPr="006C1D21">
              <w:rPr>
                <w:rFonts w:asciiTheme="majorBidi" w:eastAsia="Times New Roman" w:hAnsiTheme="majorBidi" w:cstheme="majorBidi"/>
                <w:color w:val="000000"/>
              </w:rPr>
              <w:t>clayston</w:t>
            </w:r>
            <w:proofErr w:type="spellEnd"/>
            <w:r w:rsidRPr="006C1D21">
              <w:rPr>
                <w:rFonts w:asciiTheme="majorBidi" w:eastAsia="Times New Roman" w:hAnsiTheme="majorBidi" w:cstheme="majorBidi"/>
                <w:color w:val="000000"/>
              </w:rPr>
              <w:t xml:space="preserve"> </w:t>
            </w:r>
          </w:p>
        </w:tc>
        <w:tc>
          <w:tcPr>
            <w:tcW w:w="636" w:type="pct"/>
            <w:shd w:val="clear" w:color="auto" w:fill="FFFFFF" w:themeFill="background1"/>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136.34</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57.5±10.87</w:t>
            </w:r>
          </w:p>
        </w:tc>
        <w:tc>
          <w:tcPr>
            <w:tcW w:w="77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164.9±31.17</w:t>
            </w:r>
          </w:p>
        </w:tc>
        <w:tc>
          <w:tcPr>
            <w:tcW w:w="63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4.65±0.88</w:t>
            </w:r>
          </w:p>
        </w:tc>
      </w:tr>
      <w:tr w:rsidR="0079728D" w:rsidRPr="00A447BB" w:rsidTr="00057168">
        <w:trPr>
          <w:cantSplit/>
          <w:trHeight w:val="57"/>
        </w:trPr>
        <w:tc>
          <w:tcPr>
            <w:tcW w:w="26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7</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900</w:t>
            </w:r>
          </w:p>
        </w:tc>
        <w:tc>
          <w:tcPr>
            <w:tcW w:w="1273" w:type="pct"/>
            <w:shd w:val="clear" w:color="auto" w:fill="FFFFFF" w:themeFill="background1"/>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 xml:space="preserve"> Euphrates </w:t>
            </w:r>
          </w:p>
        </w:tc>
        <w:tc>
          <w:tcPr>
            <w:tcW w:w="63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145.1</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40±16.79</w:t>
            </w:r>
          </w:p>
        </w:tc>
        <w:tc>
          <w:tcPr>
            <w:tcW w:w="77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114.71±48.15</w:t>
            </w:r>
          </w:p>
        </w:tc>
        <w:tc>
          <w:tcPr>
            <w:tcW w:w="63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3.04±1.28</w:t>
            </w:r>
          </w:p>
        </w:tc>
      </w:tr>
      <w:tr w:rsidR="0079728D" w:rsidRPr="00A447BB" w:rsidTr="00057168">
        <w:trPr>
          <w:cantSplit/>
          <w:trHeight w:val="57"/>
        </w:trPr>
        <w:tc>
          <w:tcPr>
            <w:tcW w:w="26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8</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1000</w:t>
            </w:r>
          </w:p>
        </w:tc>
        <w:tc>
          <w:tcPr>
            <w:tcW w:w="1273" w:type="pct"/>
            <w:shd w:val="clear" w:color="auto" w:fill="FFFFFF" w:themeFill="background1"/>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 xml:space="preserve"> Euphrates </w:t>
            </w:r>
          </w:p>
        </w:tc>
        <w:tc>
          <w:tcPr>
            <w:tcW w:w="63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129</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47±11.46</w:t>
            </w:r>
          </w:p>
        </w:tc>
        <w:tc>
          <w:tcPr>
            <w:tcW w:w="77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134.79±32.86</w:t>
            </w:r>
          </w:p>
        </w:tc>
        <w:tc>
          <w:tcPr>
            <w:tcW w:w="63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4.02±0.98</w:t>
            </w:r>
          </w:p>
        </w:tc>
      </w:tr>
      <w:tr w:rsidR="0079728D" w:rsidRPr="00A447BB" w:rsidTr="00057168">
        <w:trPr>
          <w:cantSplit/>
          <w:trHeight w:val="57"/>
        </w:trPr>
        <w:tc>
          <w:tcPr>
            <w:tcW w:w="26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9</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1100</w:t>
            </w:r>
          </w:p>
        </w:tc>
        <w:tc>
          <w:tcPr>
            <w:tcW w:w="1273" w:type="pct"/>
            <w:shd w:val="clear" w:color="auto" w:fill="FFFFFF" w:themeFill="background1"/>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 xml:space="preserve"> Euphrates </w:t>
            </w:r>
          </w:p>
        </w:tc>
        <w:tc>
          <w:tcPr>
            <w:tcW w:w="63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137.8</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93.25±19.72</w:t>
            </w:r>
          </w:p>
        </w:tc>
        <w:tc>
          <w:tcPr>
            <w:tcW w:w="77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267.42±56.55</w:t>
            </w:r>
          </w:p>
        </w:tc>
        <w:tc>
          <w:tcPr>
            <w:tcW w:w="63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7.46±1.58</w:t>
            </w:r>
          </w:p>
        </w:tc>
      </w:tr>
      <w:tr w:rsidR="0079728D" w:rsidRPr="00A447BB" w:rsidTr="00057168">
        <w:trPr>
          <w:cantSplit/>
          <w:trHeight w:val="57"/>
        </w:trPr>
        <w:tc>
          <w:tcPr>
            <w:tcW w:w="26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10</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1200</w:t>
            </w:r>
          </w:p>
        </w:tc>
        <w:tc>
          <w:tcPr>
            <w:tcW w:w="1273" w:type="pct"/>
            <w:shd w:val="clear" w:color="auto" w:fill="FFFFFF" w:themeFill="background1"/>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 xml:space="preserve"> </w:t>
            </w:r>
            <w:proofErr w:type="spellStart"/>
            <w:r w:rsidRPr="006C1D21">
              <w:rPr>
                <w:rFonts w:asciiTheme="majorBidi" w:eastAsia="Times New Roman" w:hAnsiTheme="majorBidi" w:cstheme="majorBidi"/>
                <w:color w:val="000000"/>
              </w:rPr>
              <w:t>Pelaspi</w:t>
            </w:r>
            <w:proofErr w:type="spellEnd"/>
            <w:r w:rsidRPr="006C1D21">
              <w:rPr>
                <w:rFonts w:asciiTheme="majorBidi" w:eastAsia="Times New Roman" w:hAnsiTheme="majorBidi" w:cstheme="majorBidi"/>
                <w:color w:val="000000"/>
              </w:rPr>
              <w:t xml:space="preserve"> </w:t>
            </w:r>
          </w:p>
        </w:tc>
        <w:tc>
          <w:tcPr>
            <w:tcW w:w="63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126.8</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69±8.98</w:t>
            </w:r>
          </w:p>
        </w:tc>
        <w:tc>
          <w:tcPr>
            <w:tcW w:w="77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197.88±25.75</w:t>
            </w:r>
          </w:p>
        </w:tc>
        <w:tc>
          <w:tcPr>
            <w:tcW w:w="63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6±0.78</w:t>
            </w:r>
          </w:p>
        </w:tc>
      </w:tr>
      <w:tr w:rsidR="0079728D" w:rsidRPr="00A447BB" w:rsidTr="00057168">
        <w:trPr>
          <w:cantSplit/>
          <w:trHeight w:val="57"/>
        </w:trPr>
        <w:tc>
          <w:tcPr>
            <w:tcW w:w="26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11</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1300</w:t>
            </w:r>
          </w:p>
        </w:tc>
        <w:tc>
          <w:tcPr>
            <w:tcW w:w="1273" w:type="pct"/>
            <w:shd w:val="clear" w:color="auto" w:fill="FFFFFF" w:themeFill="background1"/>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 xml:space="preserve"> </w:t>
            </w:r>
            <w:proofErr w:type="spellStart"/>
            <w:r w:rsidRPr="006C1D21">
              <w:rPr>
                <w:rFonts w:asciiTheme="majorBidi" w:eastAsia="Times New Roman" w:hAnsiTheme="majorBidi" w:cstheme="majorBidi"/>
                <w:color w:val="000000"/>
              </w:rPr>
              <w:t>Pelaspi</w:t>
            </w:r>
            <w:proofErr w:type="spellEnd"/>
            <w:r w:rsidRPr="006C1D21">
              <w:rPr>
                <w:rFonts w:asciiTheme="majorBidi" w:eastAsia="Times New Roman" w:hAnsiTheme="majorBidi" w:cstheme="majorBidi"/>
                <w:color w:val="000000"/>
              </w:rPr>
              <w:t xml:space="preserve"> </w:t>
            </w:r>
          </w:p>
        </w:tc>
        <w:tc>
          <w:tcPr>
            <w:tcW w:w="63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142.2</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63.5±12.15</w:t>
            </w:r>
          </w:p>
        </w:tc>
        <w:tc>
          <w:tcPr>
            <w:tcW w:w="77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182.1±34.84</w:t>
            </w:r>
          </w:p>
        </w:tc>
        <w:tc>
          <w:tcPr>
            <w:tcW w:w="63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4.93±0.94</w:t>
            </w:r>
          </w:p>
        </w:tc>
      </w:tr>
      <w:tr w:rsidR="0079728D" w:rsidRPr="00A447BB" w:rsidTr="00057168">
        <w:trPr>
          <w:cantSplit/>
          <w:trHeight w:val="57"/>
        </w:trPr>
        <w:tc>
          <w:tcPr>
            <w:tcW w:w="26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12</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1400</w:t>
            </w:r>
          </w:p>
        </w:tc>
        <w:tc>
          <w:tcPr>
            <w:tcW w:w="1273" w:type="pct"/>
            <w:shd w:val="clear" w:color="auto" w:fill="FFFFFF" w:themeFill="background1"/>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 xml:space="preserve"> </w:t>
            </w:r>
            <w:proofErr w:type="spellStart"/>
            <w:r w:rsidRPr="006C1D21">
              <w:rPr>
                <w:rFonts w:asciiTheme="majorBidi" w:eastAsia="Times New Roman" w:hAnsiTheme="majorBidi" w:cstheme="majorBidi"/>
                <w:color w:val="000000"/>
              </w:rPr>
              <w:t>Jurkes</w:t>
            </w:r>
            <w:proofErr w:type="spellEnd"/>
            <w:r w:rsidRPr="006C1D21">
              <w:rPr>
                <w:rFonts w:asciiTheme="majorBidi" w:eastAsia="Times New Roman" w:hAnsiTheme="majorBidi" w:cstheme="majorBidi"/>
                <w:color w:val="000000"/>
              </w:rPr>
              <w:t xml:space="preserve"> </w:t>
            </w:r>
          </w:p>
        </w:tc>
        <w:tc>
          <w:tcPr>
            <w:tcW w:w="63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138</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24±3.36</w:t>
            </w:r>
          </w:p>
        </w:tc>
        <w:tc>
          <w:tcPr>
            <w:tcW w:w="77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68.83±9.64</w:t>
            </w:r>
          </w:p>
        </w:tc>
        <w:tc>
          <w:tcPr>
            <w:tcW w:w="63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1.92±0.27</w:t>
            </w:r>
          </w:p>
        </w:tc>
      </w:tr>
      <w:tr w:rsidR="0079728D" w:rsidRPr="00A447BB" w:rsidTr="00057168">
        <w:trPr>
          <w:cantSplit/>
          <w:trHeight w:val="57"/>
        </w:trPr>
        <w:tc>
          <w:tcPr>
            <w:tcW w:w="26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13</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1500</w:t>
            </w:r>
          </w:p>
        </w:tc>
        <w:tc>
          <w:tcPr>
            <w:tcW w:w="1273" w:type="pct"/>
            <w:shd w:val="clear" w:color="auto" w:fill="FFFFFF" w:themeFill="background1"/>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 xml:space="preserve"> </w:t>
            </w:r>
            <w:proofErr w:type="spellStart"/>
            <w:r w:rsidRPr="006C1D21">
              <w:rPr>
                <w:rFonts w:asciiTheme="majorBidi" w:eastAsia="Times New Roman" w:hAnsiTheme="majorBidi" w:cstheme="majorBidi"/>
                <w:color w:val="000000"/>
              </w:rPr>
              <w:t>Jurkes</w:t>
            </w:r>
            <w:proofErr w:type="spellEnd"/>
            <w:r w:rsidRPr="006C1D21">
              <w:rPr>
                <w:rFonts w:asciiTheme="majorBidi" w:eastAsia="Times New Roman" w:hAnsiTheme="majorBidi" w:cstheme="majorBidi"/>
                <w:color w:val="000000"/>
              </w:rPr>
              <w:t xml:space="preserve"> </w:t>
            </w:r>
          </w:p>
        </w:tc>
        <w:tc>
          <w:tcPr>
            <w:tcW w:w="636" w:type="pct"/>
            <w:shd w:val="clear" w:color="auto" w:fill="FFFFFF" w:themeFill="background1"/>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126.04</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29±8.44</w:t>
            </w:r>
          </w:p>
        </w:tc>
        <w:tc>
          <w:tcPr>
            <w:tcW w:w="77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83.17±24.2</w:t>
            </w:r>
          </w:p>
        </w:tc>
        <w:tc>
          <w:tcPr>
            <w:tcW w:w="63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2.54±0.74</w:t>
            </w:r>
          </w:p>
        </w:tc>
      </w:tr>
      <w:tr w:rsidR="0079728D" w:rsidRPr="00A447BB" w:rsidTr="00057168">
        <w:trPr>
          <w:cantSplit/>
          <w:trHeight w:val="57"/>
        </w:trPr>
        <w:tc>
          <w:tcPr>
            <w:tcW w:w="26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14</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1600</w:t>
            </w:r>
          </w:p>
        </w:tc>
        <w:tc>
          <w:tcPr>
            <w:tcW w:w="1273" w:type="pct"/>
            <w:shd w:val="clear" w:color="auto" w:fill="FFFFFF" w:themeFill="background1"/>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 xml:space="preserve"> </w:t>
            </w:r>
            <w:proofErr w:type="spellStart"/>
            <w:r w:rsidRPr="006C1D21">
              <w:rPr>
                <w:rFonts w:asciiTheme="majorBidi" w:eastAsia="Times New Roman" w:hAnsiTheme="majorBidi" w:cstheme="majorBidi"/>
                <w:color w:val="000000"/>
              </w:rPr>
              <w:t>Jurkes</w:t>
            </w:r>
            <w:proofErr w:type="spellEnd"/>
            <w:r w:rsidRPr="006C1D21">
              <w:rPr>
                <w:rFonts w:asciiTheme="majorBidi" w:eastAsia="Times New Roman" w:hAnsiTheme="majorBidi" w:cstheme="majorBidi"/>
                <w:color w:val="000000"/>
              </w:rPr>
              <w:t xml:space="preserve"> </w:t>
            </w:r>
          </w:p>
        </w:tc>
        <w:tc>
          <w:tcPr>
            <w:tcW w:w="63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149.69</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24.25±7.93</w:t>
            </w:r>
          </w:p>
        </w:tc>
        <w:tc>
          <w:tcPr>
            <w:tcW w:w="77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69.54±22.74</w:t>
            </w:r>
          </w:p>
        </w:tc>
        <w:tc>
          <w:tcPr>
            <w:tcW w:w="63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1.79±0.58</w:t>
            </w:r>
          </w:p>
        </w:tc>
      </w:tr>
      <w:tr w:rsidR="0079728D" w:rsidRPr="00A447BB" w:rsidTr="00057168">
        <w:trPr>
          <w:cantSplit/>
          <w:trHeight w:val="57"/>
        </w:trPr>
        <w:tc>
          <w:tcPr>
            <w:tcW w:w="26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15</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1700</w:t>
            </w:r>
          </w:p>
        </w:tc>
        <w:tc>
          <w:tcPr>
            <w:tcW w:w="1273" w:type="pct"/>
            <w:shd w:val="clear" w:color="auto" w:fill="FFFFFF" w:themeFill="background1"/>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 xml:space="preserve"> </w:t>
            </w:r>
            <w:proofErr w:type="spellStart"/>
            <w:r w:rsidRPr="006C1D21">
              <w:rPr>
                <w:rFonts w:asciiTheme="majorBidi" w:eastAsia="Times New Roman" w:hAnsiTheme="majorBidi" w:cstheme="majorBidi"/>
                <w:color w:val="000000"/>
              </w:rPr>
              <w:t>Jurkes</w:t>
            </w:r>
            <w:proofErr w:type="spellEnd"/>
            <w:r w:rsidRPr="006C1D21">
              <w:rPr>
                <w:rFonts w:asciiTheme="majorBidi" w:eastAsia="Times New Roman" w:hAnsiTheme="majorBidi" w:cstheme="majorBidi"/>
                <w:color w:val="000000"/>
              </w:rPr>
              <w:t xml:space="preserve"> </w:t>
            </w:r>
          </w:p>
        </w:tc>
        <w:tc>
          <w:tcPr>
            <w:tcW w:w="63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150.6</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23.75±5.85</w:t>
            </w:r>
          </w:p>
        </w:tc>
        <w:tc>
          <w:tcPr>
            <w:tcW w:w="77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68.11±16.78</w:t>
            </w:r>
          </w:p>
        </w:tc>
        <w:tc>
          <w:tcPr>
            <w:tcW w:w="63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1.74±0.43</w:t>
            </w:r>
          </w:p>
        </w:tc>
      </w:tr>
      <w:tr w:rsidR="0079728D" w:rsidRPr="00A447BB" w:rsidTr="00057168">
        <w:trPr>
          <w:cantSplit/>
          <w:trHeight w:val="57"/>
        </w:trPr>
        <w:tc>
          <w:tcPr>
            <w:tcW w:w="26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16</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1800</w:t>
            </w:r>
          </w:p>
        </w:tc>
        <w:tc>
          <w:tcPr>
            <w:tcW w:w="1273" w:type="pct"/>
            <w:shd w:val="clear" w:color="auto" w:fill="FFFFFF" w:themeFill="background1"/>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 xml:space="preserve"> </w:t>
            </w:r>
            <w:proofErr w:type="spellStart"/>
            <w:r w:rsidRPr="006C1D21">
              <w:rPr>
                <w:rFonts w:asciiTheme="majorBidi" w:eastAsia="Times New Roman" w:hAnsiTheme="majorBidi" w:cstheme="majorBidi"/>
                <w:color w:val="000000"/>
              </w:rPr>
              <w:t>Kolosh</w:t>
            </w:r>
            <w:proofErr w:type="spellEnd"/>
            <w:r w:rsidRPr="006C1D21">
              <w:rPr>
                <w:rFonts w:asciiTheme="majorBidi" w:eastAsia="Times New Roman" w:hAnsiTheme="majorBidi" w:cstheme="majorBidi"/>
                <w:color w:val="000000"/>
              </w:rPr>
              <w:t xml:space="preserve"> </w:t>
            </w:r>
          </w:p>
        </w:tc>
        <w:tc>
          <w:tcPr>
            <w:tcW w:w="63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153.34</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27.05±4.71</w:t>
            </w:r>
          </w:p>
        </w:tc>
        <w:tc>
          <w:tcPr>
            <w:tcW w:w="77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77.6±13.51</w:t>
            </w:r>
          </w:p>
        </w:tc>
        <w:tc>
          <w:tcPr>
            <w:tcW w:w="63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1.95±0.34</w:t>
            </w:r>
          </w:p>
        </w:tc>
      </w:tr>
      <w:tr w:rsidR="0079728D" w:rsidRPr="00A447BB" w:rsidTr="00057168">
        <w:trPr>
          <w:cantSplit/>
          <w:trHeight w:val="57"/>
        </w:trPr>
        <w:tc>
          <w:tcPr>
            <w:tcW w:w="26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17</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1900</w:t>
            </w:r>
          </w:p>
        </w:tc>
        <w:tc>
          <w:tcPr>
            <w:tcW w:w="1273" w:type="pct"/>
            <w:shd w:val="clear" w:color="auto" w:fill="FFFFFF" w:themeFill="background1"/>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 xml:space="preserve"> </w:t>
            </w:r>
            <w:proofErr w:type="spellStart"/>
            <w:r w:rsidRPr="006C1D21">
              <w:rPr>
                <w:rFonts w:asciiTheme="majorBidi" w:eastAsia="Times New Roman" w:hAnsiTheme="majorBidi" w:cstheme="majorBidi"/>
                <w:color w:val="000000"/>
              </w:rPr>
              <w:t>Kolosh</w:t>
            </w:r>
            <w:proofErr w:type="spellEnd"/>
            <w:r w:rsidRPr="006C1D21">
              <w:rPr>
                <w:rFonts w:asciiTheme="majorBidi" w:eastAsia="Times New Roman" w:hAnsiTheme="majorBidi" w:cstheme="majorBidi"/>
                <w:color w:val="000000"/>
              </w:rPr>
              <w:t xml:space="preserve"> </w:t>
            </w:r>
          </w:p>
        </w:tc>
        <w:tc>
          <w:tcPr>
            <w:tcW w:w="63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129</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bookmarkStart w:id="49" w:name="OLE_LINK55"/>
            <w:bookmarkStart w:id="50" w:name="OLE_LINK56"/>
            <w:r w:rsidRPr="006C1D21">
              <w:rPr>
                <w:rFonts w:asciiTheme="majorBidi" w:eastAsia="Times New Roman" w:hAnsiTheme="majorBidi" w:cstheme="majorBidi"/>
                <w:color w:val="000000"/>
              </w:rPr>
              <w:t>14.12±8.59</w:t>
            </w:r>
            <w:bookmarkEnd w:id="49"/>
            <w:bookmarkEnd w:id="50"/>
          </w:p>
        </w:tc>
        <w:tc>
          <w:tcPr>
            <w:tcW w:w="77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40.52±24.63</w:t>
            </w:r>
          </w:p>
        </w:tc>
        <w:tc>
          <w:tcPr>
            <w:tcW w:w="63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1.21±0.73</w:t>
            </w:r>
          </w:p>
        </w:tc>
      </w:tr>
      <w:tr w:rsidR="0079728D" w:rsidRPr="00A447BB" w:rsidTr="00057168">
        <w:trPr>
          <w:cantSplit/>
          <w:trHeight w:val="57"/>
        </w:trPr>
        <w:tc>
          <w:tcPr>
            <w:tcW w:w="26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18</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2000</w:t>
            </w:r>
          </w:p>
        </w:tc>
        <w:tc>
          <w:tcPr>
            <w:tcW w:w="1273" w:type="pct"/>
            <w:shd w:val="clear" w:color="auto" w:fill="FFFFFF" w:themeFill="background1"/>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 xml:space="preserve"> </w:t>
            </w:r>
            <w:proofErr w:type="spellStart"/>
            <w:r w:rsidRPr="006C1D21">
              <w:rPr>
                <w:rFonts w:asciiTheme="majorBidi" w:eastAsia="Times New Roman" w:hAnsiTheme="majorBidi" w:cstheme="majorBidi"/>
                <w:color w:val="000000"/>
              </w:rPr>
              <w:t>Kolosh</w:t>
            </w:r>
            <w:proofErr w:type="spellEnd"/>
            <w:r w:rsidRPr="006C1D21">
              <w:rPr>
                <w:rFonts w:asciiTheme="majorBidi" w:eastAsia="Times New Roman" w:hAnsiTheme="majorBidi" w:cstheme="majorBidi"/>
                <w:color w:val="000000"/>
              </w:rPr>
              <w:t xml:space="preserve"> </w:t>
            </w:r>
          </w:p>
        </w:tc>
        <w:tc>
          <w:tcPr>
            <w:tcW w:w="63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137.58</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18.23±7.21</w:t>
            </w:r>
          </w:p>
        </w:tc>
        <w:tc>
          <w:tcPr>
            <w:tcW w:w="77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52.3±20.68</w:t>
            </w:r>
          </w:p>
        </w:tc>
        <w:tc>
          <w:tcPr>
            <w:tcW w:w="63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1.46±0.58</w:t>
            </w:r>
          </w:p>
        </w:tc>
      </w:tr>
      <w:tr w:rsidR="0079728D" w:rsidRPr="00A447BB" w:rsidTr="00057168">
        <w:trPr>
          <w:cantSplit/>
          <w:trHeight w:val="57"/>
        </w:trPr>
        <w:tc>
          <w:tcPr>
            <w:tcW w:w="26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19</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2100</w:t>
            </w:r>
          </w:p>
        </w:tc>
        <w:tc>
          <w:tcPr>
            <w:tcW w:w="1273" w:type="pct"/>
            <w:shd w:val="clear" w:color="auto" w:fill="FFFFFF" w:themeFill="background1"/>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 xml:space="preserve"> </w:t>
            </w:r>
            <w:proofErr w:type="spellStart"/>
            <w:r w:rsidRPr="006C1D21">
              <w:rPr>
                <w:rFonts w:asciiTheme="majorBidi" w:eastAsia="Times New Roman" w:hAnsiTheme="majorBidi" w:cstheme="majorBidi"/>
                <w:color w:val="000000"/>
              </w:rPr>
              <w:t>Kolosh</w:t>
            </w:r>
            <w:proofErr w:type="spellEnd"/>
            <w:r w:rsidRPr="006C1D21">
              <w:rPr>
                <w:rFonts w:asciiTheme="majorBidi" w:eastAsia="Times New Roman" w:hAnsiTheme="majorBidi" w:cstheme="majorBidi"/>
                <w:color w:val="000000"/>
              </w:rPr>
              <w:t xml:space="preserve"> </w:t>
            </w:r>
          </w:p>
        </w:tc>
        <w:tc>
          <w:tcPr>
            <w:tcW w:w="63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137.15</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23.01±1.32</w:t>
            </w:r>
          </w:p>
        </w:tc>
        <w:tc>
          <w:tcPr>
            <w:tcW w:w="77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65.98±3.79</w:t>
            </w:r>
          </w:p>
        </w:tc>
        <w:tc>
          <w:tcPr>
            <w:tcW w:w="63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1.85±0.11</w:t>
            </w:r>
          </w:p>
        </w:tc>
      </w:tr>
      <w:tr w:rsidR="0079728D" w:rsidRPr="00A447BB" w:rsidTr="00057168">
        <w:trPr>
          <w:cantSplit/>
          <w:trHeight w:val="57"/>
        </w:trPr>
        <w:tc>
          <w:tcPr>
            <w:tcW w:w="26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20</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2200</w:t>
            </w:r>
          </w:p>
        </w:tc>
        <w:tc>
          <w:tcPr>
            <w:tcW w:w="1273" w:type="pct"/>
            <w:shd w:val="clear" w:color="auto" w:fill="FFFFFF" w:themeFill="background1"/>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 xml:space="preserve"> </w:t>
            </w:r>
            <w:proofErr w:type="spellStart"/>
            <w:r w:rsidRPr="006C1D21">
              <w:rPr>
                <w:rFonts w:asciiTheme="majorBidi" w:eastAsia="Times New Roman" w:hAnsiTheme="majorBidi" w:cstheme="majorBidi"/>
                <w:color w:val="000000"/>
              </w:rPr>
              <w:t>Kolosh</w:t>
            </w:r>
            <w:proofErr w:type="spellEnd"/>
            <w:r w:rsidRPr="006C1D21">
              <w:rPr>
                <w:rFonts w:asciiTheme="majorBidi" w:eastAsia="Times New Roman" w:hAnsiTheme="majorBidi" w:cstheme="majorBidi"/>
                <w:color w:val="000000"/>
              </w:rPr>
              <w:t xml:space="preserve"> </w:t>
            </w:r>
          </w:p>
        </w:tc>
        <w:tc>
          <w:tcPr>
            <w:tcW w:w="63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140.34</w:t>
            </w:r>
          </w:p>
        </w:tc>
        <w:tc>
          <w:tcPr>
            <w:tcW w:w="70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30.50±5</w:t>
            </w:r>
          </w:p>
        </w:tc>
        <w:tc>
          <w:tcPr>
            <w:tcW w:w="77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87.47±14.34</w:t>
            </w:r>
          </w:p>
        </w:tc>
        <w:tc>
          <w:tcPr>
            <w:tcW w:w="637"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2.4±0.39</w:t>
            </w:r>
          </w:p>
        </w:tc>
      </w:tr>
      <w:tr w:rsidR="0079728D" w:rsidRPr="00A447BB" w:rsidTr="00057168">
        <w:trPr>
          <w:cantSplit/>
          <w:trHeight w:val="57"/>
        </w:trPr>
        <w:tc>
          <w:tcPr>
            <w:tcW w:w="26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p>
        </w:tc>
        <w:tc>
          <w:tcPr>
            <w:tcW w:w="706" w:type="pct"/>
            <w:shd w:val="clear" w:color="auto" w:fill="FFFFFF" w:themeFill="background1"/>
            <w:vAlign w:val="center"/>
          </w:tcPr>
          <w:p w:rsidR="0079728D" w:rsidRPr="006C1D21" w:rsidRDefault="0079728D" w:rsidP="00057168">
            <w:pPr>
              <w:spacing w:line="288" w:lineRule="auto"/>
              <w:rPr>
                <w:rFonts w:asciiTheme="majorBidi" w:eastAsia="Times New Roman" w:hAnsiTheme="majorBidi" w:cstheme="majorBidi"/>
                <w:color w:val="000000"/>
              </w:rPr>
            </w:pPr>
          </w:p>
        </w:tc>
        <w:tc>
          <w:tcPr>
            <w:tcW w:w="1273" w:type="pct"/>
            <w:shd w:val="clear" w:color="auto" w:fill="FFFFFF" w:themeFill="background1"/>
            <w:vAlign w:val="center"/>
          </w:tcPr>
          <w:p w:rsidR="0079728D" w:rsidRPr="006C1D21" w:rsidRDefault="0079728D" w:rsidP="00057168">
            <w:pPr>
              <w:spacing w:line="288" w:lineRule="auto"/>
              <w:rPr>
                <w:rFonts w:asciiTheme="majorBidi" w:eastAsia="Times New Roman" w:hAnsiTheme="majorBidi" w:cstheme="majorBidi"/>
                <w:color w:val="000000"/>
              </w:rPr>
            </w:pPr>
          </w:p>
        </w:tc>
        <w:tc>
          <w:tcPr>
            <w:tcW w:w="63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Max</w:t>
            </w:r>
          </w:p>
        </w:tc>
        <w:tc>
          <w:tcPr>
            <w:tcW w:w="706" w:type="pct"/>
            <w:shd w:val="clear" w:color="auto" w:fill="FFFFFF" w:themeFill="background1"/>
            <w:vAlign w:val="center"/>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93.25+21.72</w:t>
            </w:r>
          </w:p>
        </w:tc>
        <w:tc>
          <w:tcPr>
            <w:tcW w:w="777" w:type="pct"/>
            <w:shd w:val="clear" w:color="auto" w:fill="FFFFFF" w:themeFill="background1"/>
            <w:vAlign w:val="center"/>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267.42±62.29</w:t>
            </w:r>
          </w:p>
        </w:tc>
        <w:tc>
          <w:tcPr>
            <w:tcW w:w="637" w:type="pct"/>
            <w:shd w:val="clear" w:color="auto" w:fill="FFFFFF" w:themeFill="background1"/>
            <w:vAlign w:val="center"/>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7.46±1.81</w:t>
            </w:r>
          </w:p>
        </w:tc>
      </w:tr>
      <w:tr w:rsidR="0079728D" w:rsidRPr="00A447BB" w:rsidTr="00057168">
        <w:trPr>
          <w:cantSplit/>
          <w:trHeight w:val="57"/>
        </w:trPr>
        <w:tc>
          <w:tcPr>
            <w:tcW w:w="26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p>
        </w:tc>
        <w:tc>
          <w:tcPr>
            <w:tcW w:w="706" w:type="pct"/>
            <w:shd w:val="clear" w:color="auto" w:fill="FFFFFF" w:themeFill="background1"/>
            <w:vAlign w:val="center"/>
          </w:tcPr>
          <w:p w:rsidR="0079728D" w:rsidRPr="006C1D21" w:rsidRDefault="0079728D" w:rsidP="00057168">
            <w:pPr>
              <w:spacing w:line="288" w:lineRule="auto"/>
              <w:rPr>
                <w:rFonts w:asciiTheme="majorBidi" w:eastAsia="Times New Roman" w:hAnsiTheme="majorBidi" w:cstheme="majorBidi"/>
                <w:color w:val="000000"/>
              </w:rPr>
            </w:pPr>
          </w:p>
        </w:tc>
        <w:tc>
          <w:tcPr>
            <w:tcW w:w="1273" w:type="pct"/>
            <w:shd w:val="clear" w:color="auto" w:fill="FFFFFF" w:themeFill="background1"/>
            <w:vAlign w:val="center"/>
          </w:tcPr>
          <w:p w:rsidR="0079728D" w:rsidRPr="006C1D21" w:rsidRDefault="0079728D" w:rsidP="00057168">
            <w:pPr>
              <w:spacing w:line="288" w:lineRule="auto"/>
              <w:rPr>
                <w:rFonts w:asciiTheme="majorBidi" w:eastAsia="Times New Roman" w:hAnsiTheme="majorBidi" w:cstheme="majorBidi"/>
                <w:color w:val="000000"/>
              </w:rPr>
            </w:pPr>
          </w:p>
        </w:tc>
        <w:tc>
          <w:tcPr>
            <w:tcW w:w="63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Min</w:t>
            </w:r>
          </w:p>
        </w:tc>
        <w:tc>
          <w:tcPr>
            <w:tcW w:w="706" w:type="pct"/>
            <w:shd w:val="clear" w:color="auto" w:fill="FFFFFF" w:themeFill="background1"/>
            <w:vAlign w:val="center"/>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14.12±8.59</w:t>
            </w:r>
          </w:p>
        </w:tc>
        <w:tc>
          <w:tcPr>
            <w:tcW w:w="777" w:type="pct"/>
            <w:shd w:val="clear" w:color="auto" w:fill="FFFFFF" w:themeFill="background1"/>
            <w:vAlign w:val="center"/>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40.52±3.79</w:t>
            </w:r>
          </w:p>
        </w:tc>
        <w:tc>
          <w:tcPr>
            <w:tcW w:w="637" w:type="pct"/>
            <w:shd w:val="clear" w:color="auto" w:fill="FFFFFF" w:themeFill="background1"/>
            <w:vAlign w:val="center"/>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1.21±0.11</w:t>
            </w:r>
          </w:p>
        </w:tc>
      </w:tr>
      <w:tr w:rsidR="0079728D" w:rsidRPr="00A447BB" w:rsidTr="00057168">
        <w:trPr>
          <w:cantSplit/>
          <w:trHeight w:val="57"/>
        </w:trPr>
        <w:tc>
          <w:tcPr>
            <w:tcW w:w="26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p>
        </w:tc>
        <w:tc>
          <w:tcPr>
            <w:tcW w:w="706" w:type="pct"/>
            <w:shd w:val="clear" w:color="auto" w:fill="FFFFFF" w:themeFill="background1"/>
            <w:vAlign w:val="center"/>
          </w:tcPr>
          <w:p w:rsidR="0079728D" w:rsidRPr="006C1D21" w:rsidRDefault="0079728D" w:rsidP="00057168">
            <w:pPr>
              <w:spacing w:line="288" w:lineRule="auto"/>
              <w:rPr>
                <w:rFonts w:asciiTheme="majorBidi" w:eastAsia="Times New Roman" w:hAnsiTheme="majorBidi" w:cstheme="majorBidi"/>
                <w:color w:val="000000"/>
              </w:rPr>
            </w:pPr>
          </w:p>
        </w:tc>
        <w:tc>
          <w:tcPr>
            <w:tcW w:w="1273" w:type="pct"/>
            <w:shd w:val="clear" w:color="auto" w:fill="FFFFFF" w:themeFill="background1"/>
            <w:vAlign w:val="center"/>
          </w:tcPr>
          <w:p w:rsidR="0079728D" w:rsidRPr="006C1D21" w:rsidRDefault="0079728D" w:rsidP="00057168">
            <w:pPr>
              <w:spacing w:line="288" w:lineRule="auto"/>
              <w:rPr>
                <w:rFonts w:asciiTheme="majorBidi" w:eastAsia="Times New Roman" w:hAnsiTheme="majorBidi" w:cstheme="majorBidi"/>
                <w:color w:val="000000"/>
              </w:rPr>
            </w:pPr>
          </w:p>
        </w:tc>
        <w:tc>
          <w:tcPr>
            <w:tcW w:w="636" w:type="pct"/>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Average</w:t>
            </w:r>
          </w:p>
        </w:tc>
        <w:tc>
          <w:tcPr>
            <w:tcW w:w="706" w:type="pct"/>
            <w:shd w:val="clear" w:color="auto" w:fill="FFFFFF" w:themeFill="background1"/>
            <w:vAlign w:val="center"/>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44.53+9.52</w:t>
            </w:r>
          </w:p>
        </w:tc>
        <w:tc>
          <w:tcPr>
            <w:tcW w:w="777" w:type="pct"/>
            <w:shd w:val="clear" w:color="auto" w:fill="FFFFFF" w:themeFill="background1"/>
            <w:vAlign w:val="center"/>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125.08±26.45</w:t>
            </w:r>
          </w:p>
        </w:tc>
        <w:tc>
          <w:tcPr>
            <w:tcW w:w="637" w:type="pct"/>
            <w:shd w:val="clear" w:color="auto" w:fill="FFFFFF" w:themeFill="background1"/>
            <w:vAlign w:val="center"/>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3.52±0.74</w:t>
            </w:r>
          </w:p>
        </w:tc>
      </w:tr>
    </w:tbl>
    <w:p w:rsidR="00033C3E" w:rsidRPr="002306CF" w:rsidRDefault="00033C3E" w:rsidP="00033C3E">
      <w:pPr>
        <w:pStyle w:val="NoSpacing"/>
        <w:spacing w:before="360" w:after="40" w:line="228" w:lineRule="auto"/>
        <w:jc w:val="both"/>
        <w:rPr>
          <w:rFonts w:cstheme="majorBidi"/>
          <w:b w:val="0"/>
          <w:bCs/>
          <w:sz w:val="20"/>
          <w:szCs w:val="20"/>
        </w:rPr>
      </w:pPr>
      <w:bookmarkStart w:id="51" w:name="OLE_LINK28"/>
      <w:bookmarkStart w:id="52" w:name="OLE_LINK32"/>
      <w:proofErr w:type="gramStart"/>
      <w:r w:rsidRPr="00F520C2">
        <w:rPr>
          <w:rFonts w:cstheme="majorBidi"/>
          <w:b w:val="0"/>
          <w:bCs/>
          <w:sz w:val="20"/>
          <w:szCs w:val="20"/>
        </w:rPr>
        <w:lastRenderedPageBreak/>
        <w:t>Table</w:t>
      </w:r>
      <w:r>
        <w:rPr>
          <w:rFonts w:cstheme="majorBidi"/>
          <w:b w:val="0"/>
          <w:bCs/>
          <w:sz w:val="20"/>
          <w:szCs w:val="20"/>
        </w:rPr>
        <w:t>.</w:t>
      </w:r>
      <w:proofErr w:type="gramEnd"/>
      <w:r>
        <w:rPr>
          <w:rFonts w:cstheme="majorBidi"/>
          <w:b w:val="0"/>
          <w:bCs/>
          <w:sz w:val="20"/>
          <w:szCs w:val="20"/>
        </w:rPr>
        <w:t xml:space="preserve"> 2.</w:t>
      </w:r>
      <w:r w:rsidRPr="00F520C2">
        <w:rPr>
          <w:rFonts w:cstheme="majorBidi"/>
          <w:b w:val="0"/>
          <w:bCs/>
          <w:sz w:val="20"/>
          <w:szCs w:val="20"/>
        </w:rPr>
        <w:t xml:space="preserve"> The radon (</w:t>
      </w:r>
      <w:r w:rsidRPr="00F520C2">
        <w:rPr>
          <w:rFonts w:cstheme="majorBidi"/>
          <w:b w:val="0"/>
          <w:bCs/>
          <w:sz w:val="20"/>
          <w:szCs w:val="20"/>
          <w:vertAlign w:val="superscript"/>
        </w:rPr>
        <w:t>222</w:t>
      </w:r>
      <w:r w:rsidRPr="00F520C2">
        <w:rPr>
          <w:rFonts w:cstheme="majorBidi"/>
          <w:b w:val="0"/>
          <w:bCs/>
          <w:sz w:val="20"/>
          <w:szCs w:val="20"/>
        </w:rPr>
        <w:t>Rn) concentration with its exhalation in different surface formation.</w:t>
      </w:r>
    </w:p>
    <w:tbl>
      <w:tblPr>
        <w:tblW w:w="4800" w:type="pct"/>
        <w:tblLook w:val="04A0"/>
      </w:tblPr>
      <w:tblGrid>
        <w:gridCol w:w="537"/>
        <w:gridCol w:w="2409"/>
        <w:gridCol w:w="1559"/>
        <w:gridCol w:w="2265"/>
        <w:gridCol w:w="1701"/>
        <w:gridCol w:w="1559"/>
      </w:tblGrid>
      <w:tr w:rsidR="0079728D" w:rsidRPr="00A447BB" w:rsidTr="00057168">
        <w:trPr>
          <w:cantSplit/>
          <w:trHeight w:val="20"/>
        </w:trPr>
        <w:tc>
          <w:tcPr>
            <w:tcW w:w="268" w:type="pct"/>
            <w:tcBorders>
              <w:top w:val="single" w:sz="4" w:space="0" w:color="auto"/>
              <w:left w:val="single" w:sz="4" w:space="0" w:color="auto"/>
              <w:bottom w:val="nil"/>
              <w:right w:val="single" w:sz="4" w:space="0" w:color="auto"/>
            </w:tcBorders>
            <w:shd w:val="clear" w:color="auto" w:fill="F2F2F2" w:themeFill="background1" w:themeFillShade="F2"/>
            <w:vAlign w:val="center"/>
            <w:hideMark/>
          </w:tcPr>
          <w:p w:rsidR="0079728D" w:rsidRPr="006C1D21" w:rsidRDefault="0079728D" w:rsidP="00057168">
            <w:pPr>
              <w:spacing w:line="288" w:lineRule="auto"/>
              <w:rPr>
                <w:rFonts w:asciiTheme="majorBidi" w:eastAsia="Times New Roman" w:hAnsiTheme="majorBidi" w:cstheme="majorBidi"/>
                <w:color w:val="000000"/>
              </w:rPr>
            </w:pPr>
            <w:bookmarkStart w:id="53" w:name="RANGE!A1:N17"/>
            <w:bookmarkEnd w:id="51"/>
            <w:bookmarkEnd w:id="52"/>
            <w:r w:rsidRPr="006C1D21">
              <w:rPr>
                <w:rFonts w:asciiTheme="majorBidi" w:eastAsia="Times New Roman" w:hAnsiTheme="majorBidi" w:cstheme="majorBidi"/>
                <w:color w:val="000000"/>
              </w:rPr>
              <w:t>#</w:t>
            </w:r>
            <w:bookmarkEnd w:id="53"/>
          </w:p>
        </w:tc>
        <w:tc>
          <w:tcPr>
            <w:tcW w:w="1201" w:type="pct"/>
            <w:tcBorders>
              <w:top w:val="single" w:sz="4" w:space="0" w:color="auto"/>
              <w:left w:val="nil"/>
              <w:bottom w:val="nil"/>
              <w:right w:val="single" w:sz="4" w:space="0" w:color="auto"/>
            </w:tcBorders>
            <w:shd w:val="clear" w:color="auto" w:fill="F2F2F2" w:themeFill="background1" w:themeFillShade="F2"/>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Formation Name</w:t>
            </w:r>
          </w:p>
        </w:tc>
        <w:tc>
          <w:tcPr>
            <w:tcW w:w="777" w:type="pct"/>
            <w:tcBorders>
              <w:top w:val="single" w:sz="4" w:space="0" w:color="auto"/>
              <w:left w:val="nil"/>
              <w:bottom w:val="nil"/>
              <w:right w:val="single" w:sz="4" w:space="0" w:color="auto"/>
            </w:tcBorders>
            <w:shd w:val="clear" w:color="auto" w:fill="F2F2F2" w:themeFill="background1" w:themeFillShade="F2"/>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Weight gram</w:t>
            </w:r>
          </w:p>
        </w:tc>
        <w:tc>
          <w:tcPr>
            <w:tcW w:w="1129" w:type="pct"/>
            <w:tcBorders>
              <w:top w:val="single" w:sz="4" w:space="0" w:color="auto"/>
              <w:left w:val="nil"/>
              <w:bottom w:val="nil"/>
              <w:right w:val="single" w:sz="4" w:space="0" w:color="auto"/>
            </w:tcBorders>
            <w:shd w:val="clear" w:color="auto" w:fill="F2F2F2" w:themeFill="background1" w:themeFillShade="F2"/>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Radon Average &amp; Stander division [</w:t>
            </w:r>
            <w:proofErr w:type="spellStart"/>
            <w:r w:rsidRPr="006C1D21">
              <w:rPr>
                <w:rFonts w:asciiTheme="majorBidi" w:eastAsia="Times New Roman" w:hAnsiTheme="majorBidi" w:cstheme="majorBidi"/>
                <w:color w:val="000000"/>
              </w:rPr>
              <w:t>Bq</w:t>
            </w:r>
            <w:proofErr w:type="spellEnd"/>
            <w:r w:rsidRPr="006C1D21">
              <w:rPr>
                <w:rFonts w:asciiTheme="majorBidi" w:eastAsia="Times New Roman" w:hAnsiTheme="majorBidi" w:cstheme="majorBidi"/>
                <w:color w:val="000000"/>
              </w:rPr>
              <w:t>/m</w:t>
            </w:r>
            <w:r w:rsidRPr="006C1D21">
              <w:rPr>
                <w:rFonts w:asciiTheme="majorBidi" w:eastAsia="Times New Roman" w:hAnsiTheme="majorBidi" w:cstheme="majorBidi"/>
                <w:color w:val="000000"/>
                <w:vertAlign w:val="superscript"/>
              </w:rPr>
              <w:t>3</w:t>
            </w:r>
            <w:r w:rsidRPr="006C1D21">
              <w:rPr>
                <w:rFonts w:asciiTheme="majorBidi" w:eastAsia="Times New Roman" w:hAnsiTheme="majorBidi" w:cstheme="majorBidi"/>
                <w:color w:val="000000"/>
              </w:rPr>
              <w:t>]</w:t>
            </w:r>
          </w:p>
        </w:tc>
        <w:tc>
          <w:tcPr>
            <w:tcW w:w="848" w:type="pct"/>
            <w:tcBorders>
              <w:top w:val="single" w:sz="4" w:space="0" w:color="auto"/>
              <w:left w:val="single" w:sz="4" w:space="0" w:color="auto"/>
              <w:bottom w:val="nil"/>
              <w:right w:val="single" w:sz="4" w:space="0" w:color="auto"/>
            </w:tcBorders>
            <w:shd w:val="clear" w:color="auto" w:fill="F2F2F2" w:themeFill="background1" w:themeFillShade="F2"/>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Radon Area</w:t>
            </w:r>
            <w:r w:rsidRPr="006C1D21">
              <w:rPr>
                <w:rFonts w:asciiTheme="majorBidi" w:eastAsia="Times New Roman" w:hAnsiTheme="majorBidi" w:cstheme="majorBidi"/>
                <w:color w:val="000000"/>
              </w:rPr>
              <w:br/>
              <w:t>mBq.m</w:t>
            </w:r>
            <w:r w:rsidRPr="006C1D21">
              <w:rPr>
                <w:rFonts w:asciiTheme="majorBidi" w:eastAsia="Times New Roman" w:hAnsiTheme="majorBidi" w:cstheme="majorBidi"/>
                <w:color w:val="000000"/>
                <w:vertAlign w:val="superscript"/>
              </w:rPr>
              <w:t>-2</w:t>
            </w:r>
            <w:r w:rsidRPr="006C1D21">
              <w:rPr>
                <w:rFonts w:asciiTheme="majorBidi" w:eastAsia="Times New Roman" w:hAnsiTheme="majorBidi" w:cstheme="majorBidi"/>
                <w:color w:val="000000"/>
              </w:rPr>
              <w:t>h</w:t>
            </w:r>
            <w:r w:rsidRPr="006C1D21">
              <w:rPr>
                <w:rFonts w:asciiTheme="majorBidi" w:eastAsia="Times New Roman" w:hAnsiTheme="majorBidi" w:cstheme="majorBidi"/>
                <w:color w:val="000000"/>
                <w:vertAlign w:val="superscript"/>
              </w:rPr>
              <w:t>-1</w:t>
            </w:r>
          </w:p>
        </w:tc>
        <w:tc>
          <w:tcPr>
            <w:tcW w:w="778" w:type="pct"/>
            <w:tcBorders>
              <w:top w:val="single" w:sz="4" w:space="0" w:color="auto"/>
              <w:left w:val="nil"/>
              <w:bottom w:val="nil"/>
              <w:right w:val="single" w:sz="4" w:space="0" w:color="auto"/>
            </w:tcBorders>
            <w:shd w:val="clear" w:color="auto" w:fill="F2F2F2" w:themeFill="background1" w:themeFillShade="F2"/>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Radon MASS</w:t>
            </w:r>
            <w:r w:rsidRPr="006C1D21">
              <w:rPr>
                <w:rFonts w:asciiTheme="majorBidi" w:eastAsia="Times New Roman" w:hAnsiTheme="majorBidi" w:cstheme="majorBidi"/>
                <w:color w:val="000000"/>
              </w:rPr>
              <w:br/>
              <w:t>mBq.kg</w:t>
            </w:r>
            <w:r w:rsidRPr="006C1D21">
              <w:rPr>
                <w:rFonts w:asciiTheme="majorBidi" w:eastAsia="Times New Roman" w:hAnsiTheme="majorBidi" w:cstheme="majorBidi"/>
                <w:color w:val="000000"/>
                <w:vertAlign w:val="superscript"/>
              </w:rPr>
              <w:t>-1</w:t>
            </w:r>
            <w:r w:rsidRPr="006C1D21">
              <w:rPr>
                <w:rFonts w:asciiTheme="majorBidi" w:eastAsia="Times New Roman" w:hAnsiTheme="majorBidi" w:cstheme="majorBidi"/>
                <w:color w:val="000000"/>
              </w:rPr>
              <w:t>h</w:t>
            </w:r>
            <w:r w:rsidRPr="006C1D21">
              <w:rPr>
                <w:rFonts w:asciiTheme="majorBidi" w:eastAsia="Times New Roman" w:hAnsiTheme="majorBidi" w:cstheme="majorBidi"/>
                <w:color w:val="000000"/>
                <w:vertAlign w:val="superscript"/>
              </w:rPr>
              <w:t>-1</w:t>
            </w:r>
          </w:p>
        </w:tc>
      </w:tr>
      <w:tr w:rsidR="0079728D" w:rsidRPr="00A447BB" w:rsidTr="00057168">
        <w:trPr>
          <w:cantSplit/>
          <w:trHeight w:val="20"/>
        </w:trPr>
        <w:tc>
          <w:tcPr>
            <w:tcW w:w="2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w:t>
            </w:r>
          </w:p>
        </w:tc>
        <w:tc>
          <w:tcPr>
            <w:tcW w:w="120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proofErr w:type="spellStart"/>
            <w:r w:rsidRPr="006C1D21">
              <w:rPr>
                <w:rFonts w:asciiTheme="majorBidi" w:eastAsia="Times New Roman" w:hAnsiTheme="majorBidi" w:cstheme="majorBidi"/>
                <w:color w:val="000000"/>
              </w:rPr>
              <w:t>Jurbi</w:t>
            </w:r>
            <w:proofErr w:type="spellEnd"/>
            <w:r w:rsidRPr="006C1D21">
              <w:rPr>
                <w:rFonts w:asciiTheme="majorBidi" w:eastAsia="Times New Roman" w:hAnsiTheme="majorBidi" w:cstheme="majorBidi"/>
                <w:color w:val="000000"/>
              </w:rPr>
              <w:t xml:space="preserve"> formation</w:t>
            </w:r>
          </w:p>
        </w:tc>
        <w:tc>
          <w:tcPr>
            <w:tcW w:w="77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156.15</w:t>
            </w:r>
          </w:p>
        </w:tc>
        <w:tc>
          <w:tcPr>
            <w:tcW w:w="1129"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16±4.24</w:t>
            </w:r>
          </w:p>
        </w:tc>
        <w:tc>
          <w:tcPr>
            <w:tcW w:w="848"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45.88 ± 12.16</w:t>
            </w:r>
          </w:p>
        </w:tc>
        <w:tc>
          <w:tcPr>
            <w:tcW w:w="778"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1.13 ± 0.3</w:t>
            </w:r>
          </w:p>
        </w:tc>
      </w:tr>
      <w:tr w:rsidR="0079728D" w:rsidRPr="00A447BB" w:rsidTr="00057168">
        <w:trPr>
          <w:cantSplit/>
          <w:trHeight w:val="20"/>
        </w:trPr>
        <w:tc>
          <w:tcPr>
            <w:tcW w:w="26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2</w:t>
            </w:r>
          </w:p>
        </w:tc>
        <w:tc>
          <w:tcPr>
            <w:tcW w:w="1201"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Sludge after treatment</w:t>
            </w:r>
          </w:p>
        </w:tc>
        <w:tc>
          <w:tcPr>
            <w:tcW w:w="777"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165.85</w:t>
            </w:r>
          </w:p>
        </w:tc>
        <w:tc>
          <w:tcPr>
            <w:tcW w:w="1129"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16±5.66</w:t>
            </w:r>
          </w:p>
        </w:tc>
        <w:tc>
          <w:tcPr>
            <w:tcW w:w="848"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45.88 ± 16.23</w:t>
            </w:r>
          </w:p>
        </w:tc>
        <w:tc>
          <w:tcPr>
            <w:tcW w:w="778"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1.06 ± 0.37</w:t>
            </w:r>
          </w:p>
        </w:tc>
      </w:tr>
      <w:tr w:rsidR="0079728D" w:rsidRPr="00A447BB" w:rsidTr="00057168">
        <w:trPr>
          <w:cantSplit/>
          <w:trHeight w:val="20"/>
        </w:trPr>
        <w:tc>
          <w:tcPr>
            <w:tcW w:w="26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3</w:t>
            </w:r>
          </w:p>
        </w:tc>
        <w:tc>
          <w:tcPr>
            <w:tcW w:w="1201"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Soil before treatment</w:t>
            </w:r>
          </w:p>
        </w:tc>
        <w:tc>
          <w:tcPr>
            <w:tcW w:w="777"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165.35</w:t>
            </w:r>
          </w:p>
        </w:tc>
        <w:tc>
          <w:tcPr>
            <w:tcW w:w="1129"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66.5±11.27</w:t>
            </w:r>
          </w:p>
        </w:tc>
        <w:tc>
          <w:tcPr>
            <w:tcW w:w="848"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190.71 ± 32.32</w:t>
            </w:r>
          </w:p>
        </w:tc>
        <w:tc>
          <w:tcPr>
            <w:tcW w:w="778"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4.43 ± 0.75</w:t>
            </w:r>
          </w:p>
        </w:tc>
      </w:tr>
      <w:tr w:rsidR="0079728D" w:rsidRPr="00A447BB" w:rsidTr="00057168">
        <w:trPr>
          <w:cantSplit/>
          <w:trHeight w:val="20"/>
        </w:trPr>
        <w:tc>
          <w:tcPr>
            <w:tcW w:w="26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4</w:t>
            </w:r>
          </w:p>
        </w:tc>
        <w:tc>
          <w:tcPr>
            <w:tcW w:w="1201"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 xml:space="preserve">Lower </w:t>
            </w:r>
            <w:proofErr w:type="spellStart"/>
            <w:r w:rsidRPr="006C1D21">
              <w:rPr>
                <w:rFonts w:asciiTheme="majorBidi" w:eastAsia="Times New Roman" w:hAnsiTheme="majorBidi" w:cstheme="majorBidi"/>
                <w:color w:val="000000"/>
              </w:rPr>
              <w:t>Faris</w:t>
            </w:r>
            <w:proofErr w:type="spellEnd"/>
            <w:r w:rsidRPr="006C1D21">
              <w:rPr>
                <w:rFonts w:asciiTheme="majorBidi" w:eastAsia="Times New Roman" w:hAnsiTheme="majorBidi" w:cstheme="majorBidi"/>
                <w:color w:val="000000"/>
              </w:rPr>
              <w:t xml:space="preserve"> formation</w:t>
            </w:r>
          </w:p>
        </w:tc>
        <w:tc>
          <w:tcPr>
            <w:tcW w:w="777"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100.89</w:t>
            </w:r>
          </w:p>
        </w:tc>
        <w:tc>
          <w:tcPr>
            <w:tcW w:w="1129"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33.25±2.06</w:t>
            </w:r>
          </w:p>
        </w:tc>
        <w:tc>
          <w:tcPr>
            <w:tcW w:w="848"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95.35 ± 5.91</w:t>
            </w:r>
          </w:p>
        </w:tc>
        <w:tc>
          <w:tcPr>
            <w:tcW w:w="778"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3.63 ± 0.22</w:t>
            </w:r>
          </w:p>
        </w:tc>
      </w:tr>
      <w:tr w:rsidR="0079728D" w:rsidRPr="00A447BB" w:rsidTr="00057168">
        <w:trPr>
          <w:cantSplit/>
          <w:trHeight w:val="20"/>
        </w:trPr>
        <w:tc>
          <w:tcPr>
            <w:tcW w:w="26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5</w:t>
            </w:r>
          </w:p>
        </w:tc>
        <w:tc>
          <w:tcPr>
            <w:tcW w:w="1201"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proofErr w:type="spellStart"/>
            <w:r w:rsidRPr="006C1D21">
              <w:rPr>
                <w:rFonts w:asciiTheme="majorBidi" w:eastAsia="Times New Roman" w:hAnsiTheme="majorBidi" w:cstheme="majorBidi"/>
                <w:color w:val="000000"/>
              </w:rPr>
              <w:t>Khormala</w:t>
            </w:r>
            <w:proofErr w:type="spellEnd"/>
            <w:r w:rsidRPr="006C1D21">
              <w:rPr>
                <w:rFonts w:asciiTheme="majorBidi" w:eastAsia="Times New Roman" w:hAnsiTheme="majorBidi" w:cstheme="majorBidi"/>
                <w:color w:val="000000"/>
              </w:rPr>
              <w:t xml:space="preserve"> Formation</w:t>
            </w:r>
          </w:p>
        </w:tc>
        <w:tc>
          <w:tcPr>
            <w:tcW w:w="777"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170.56</w:t>
            </w:r>
          </w:p>
        </w:tc>
        <w:tc>
          <w:tcPr>
            <w:tcW w:w="1129"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137±8.76</w:t>
            </w:r>
          </w:p>
        </w:tc>
        <w:tc>
          <w:tcPr>
            <w:tcW w:w="848"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392.88 ± 25.12</w:t>
            </w:r>
          </w:p>
        </w:tc>
        <w:tc>
          <w:tcPr>
            <w:tcW w:w="778"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8.86 ± 0.57</w:t>
            </w:r>
          </w:p>
        </w:tc>
      </w:tr>
      <w:tr w:rsidR="0079728D" w:rsidRPr="00A447BB" w:rsidTr="00057168">
        <w:trPr>
          <w:cantSplit/>
          <w:trHeight w:val="20"/>
        </w:trPr>
        <w:tc>
          <w:tcPr>
            <w:tcW w:w="26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6</w:t>
            </w:r>
          </w:p>
        </w:tc>
        <w:tc>
          <w:tcPr>
            <w:tcW w:w="1201"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proofErr w:type="spellStart"/>
            <w:r w:rsidRPr="006C1D21">
              <w:rPr>
                <w:rFonts w:asciiTheme="majorBidi" w:eastAsia="Times New Roman" w:hAnsiTheme="majorBidi" w:cstheme="majorBidi"/>
                <w:color w:val="000000"/>
              </w:rPr>
              <w:t>Avana</w:t>
            </w:r>
            <w:proofErr w:type="spellEnd"/>
            <w:r w:rsidRPr="006C1D21">
              <w:rPr>
                <w:rFonts w:asciiTheme="majorBidi" w:eastAsia="Times New Roman" w:hAnsiTheme="majorBidi" w:cstheme="majorBidi"/>
                <w:color w:val="000000"/>
              </w:rPr>
              <w:t xml:space="preserve"> Formation</w:t>
            </w:r>
          </w:p>
        </w:tc>
        <w:tc>
          <w:tcPr>
            <w:tcW w:w="777"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128.07</w:t>
            </w:r>
          </w:p>
        </w:tc>
        <w:tc>
          <w:tcPr>
            <w:tcW w:w="1129"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39.5±13.87</w:t>
            </w:r>
          </w:p>
        </w:tc>
        <w:tc>
          <w:tcPr>
            <w:tcW w:w="848"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113.28 ± 39.77</w:t>
            </w:r>
          </w:p>
        </w:tc>
        <w:tc>
          <w:tcPr>
            <w:tcW w:w="778"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3.4 ± 1.19</w:t>
            </w:r>
          </w:p>
        </w:tc>
      </w:tr>
      <w:tr w:rsidR="0079728D" w:rsidRPr="00A447BB" w:rsidTr="00057168">
        <w:trPr>
          <w:cantSplit/>
          <w:trHeight w:val="20"/>
        </w:trPr>
        <w:tc>
          <w:tcPr>
            <w:tcW w:w="26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7</w:t>
            </w:r>
          </w:p>
        </w:tc>
        <w:tc>
          <w:tcPr>
            <w:tcW w:w="1201"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Waste Mud</w:t>
            </w:r>
          </w:p>
        </w:tc>
        <w:tc>
          <w:tcPr>
            <w:tcW w:w="777"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130.25</w:t>
            </w:r>
          </w:p>
        </w:tc>
        <w:tc>
          <w:tcPr>
            <w:tcW w:w="1129"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80±13.44</w:t>
            </w:r>
          </w:p>
        </w:tc>
        <w:tc>
          <w:tcPr>
            <w:tcW w:w="848"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229.42 ± 38.54</w:t>
            </w:r>
          </w:p>
        </w:tc>
        <w:tc>
          <w:tcPr>
            <w:tcW w:w="778"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6.77 ± 1.14</w:t>
            </w:r>
          </w:p>
        </w:tc>
      </w:tr>
      <w:tr w:rsidR="0079728D" w:rsidRPr="00A447BB" w:rsidTr="00057168">
        <w:trPr>
          <w:cantSplit/>
          <w:trHeight w:val="20"/>
        </w:trPr>
        <w:tc>
          <w:tcPr>
            <w:tcW w:w="26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8</w:t>
            </w:r>
          </w:p>
        </w:tc>
        <w:tc>
          <w:tcPr>
            <w:tcW w:w="1201"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proofErr w:type="spellStart"/>
            <w:r w:rsidRPr="006C1D21">
              <w:rPr>
                <w:rFonts w:asciiTheme="majorBidi" w:eastAsia="Times New Roman" w:hAnsiTheme="majorBidi" w:cstheme="majorBidi"/>
                <w:color w:val="000000"/>
              </w:rPr>
              <w:t>Pelaspi</w:t>
            </w:r>
            <w:proofErr w:type="spellEnd"/>
            <w:r w:rsidRPr="006C1D21">
              <w:rPr>
                <w:rFonts w:asciiTheme="majorBidi" w:eastAsia="Times New Roman" w:hAnsiTheme="majorBidi" w:cstheme="majorBidi"/>
                <w:color w:val="000000"/>
              </w:rPr>
              <w:t xml:space="preserve"> formation</w:t>
            </w:r>
          </w:p>
        </w:tc>
        <w:tc>
          <w:tcPr>
            <w:tcW w:w="777"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160.1</w:t>
            </w:r>
          </w:p>
        </w:tc>
        <w:tc>
          <w:tcPr>
            <w:tcW w:w="1129"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47±4.24</w:t>
            </w:r>
          </w:p>
        </w:tc>
        <w:tc>
          <w:tcPr>
            <w:tcW w:w="848"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134.78 ± 12.16</w:t>
            </w:r>
          </w:p>
        </w:tc>
        <w:tc>
          <w:tcPr>
            <w:tcW w:w="778"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3.24 ± 0.29</w:t>
            </w:r>
          </w:p>
        </w:tc>
      </w:tr>
      <w:tr w:rsidR="0079728D" w:rsidRPr="00A447BB" w:rsidTr="00057168">
        <w:trPr>
          <w:cantSplit/>
          <w:trHeight w:val="20"/>
        </w:trPr>
        <w:tc>
          <w:tcPr>
            <w:tcW w:w="26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9</w:t>
            </w:r>
          </w:p>
        </w:tc>
        <w:tc>
          <w:tcPr>
            <w:tcW w:w="1201"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proofErr w:type="spellStart"/>
            <w:r w:rsidRPr="006C1D21">
              <w:rPr>
                <w:rFonts w:asciiTheme="majorBidi" w:eastAsia="Times New Roman" w:hAnsiTheme="majorBidi" w:cstheme="majorBidi"/>
                <w:color w:val="000000"/>
              </w:rPr>
              <w:t>Bakhtyari</w:t>
            </w:r>
            <w:proofErr w:type="spellEnd"/>
            <w:r w:rsidRPr="006C1D21">
              <w:rPr>
                <w:rFonts w:asciiTheme="majorBidi" w:eastAsia="Times New Roman" w:hAnsiTheme="majorBidi" w:cstheme="majorBidi"/>
                <w:color w:val="000000"/>
              </w:rPr>
              <w:t xml:space="preserve"> Formation</w:t>
            </w:r>
          </w:p>
        </w:tc>
        <w:tc>
          <w:tcPr>
            <w:tcW w:w="777"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142</w:t>
            </w:r>
          </w:p>
        </w:tc>
        <w:tc>
          <w:tcPr>
            <w:tcW w:w="1129"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31±8.49</w:t>
            </w:r>
          </w:p>
        </w:tc>
        <w:tc>
          <w:tcPr>
            <w:tcW w:w="848"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88.9 ± 24.35</w:t>
            </w:r>
          </w:p>
        </w:tc>
        <w:tc>
          <w:tcPr>
            <w:tcW w:w="778"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2.41 ± 0.66</w:t>
            </w:r>
          </w:p>
        </w:tc>
      </w:tr>
      <w:tr w:rsidR="0079728D" w:rsidRPr="00A447BB" w:rsidTr="00057168">
        <w:trPr>
          <w:cantSplit/>
          <w:trHeight w:val="20"/>
        </w:trPr>
        <w:tc>
          <w:tcPr>
            <w:tcW w:w="26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10</w:t>
            </w:r>
          </w:p>
        </w:tc>
        <w:tc>
          <w:tcPr>
            <w:tcW w:w="1201"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proofErr w:type="spellStart"/>
            <w:r w:rsidRPr="006C1D21">
              <w:rPr>
                <w:rFonts w:asciiTheme="majorBidi" w:eastAsia="Times New Roman" w:hAnsiTheme="majorBidi" w:cstheme="majorBidi"/>
                <w:color w:val="000000"/>
              </w:rPr>
              <w:t>Jurkes</w:t>
            </w:r>
            <w:proofErr w:type="spellEnd"/>
            <w:r w:rsidRPr="006C1D21">
              <w:rPr>
                <w:rFonts w:asciiTheme="majorBidi" w:eastAsia="Times New Roman" w:hAnsiTheme="majorBidi" w:cstheme="majorBidi"/>
                <w:color w:val="000000"/>
              </w:rPr>
              <w:t xml:space="preserve"> Formation</w:t>
            </w:r>
          </w:p>
        </w:tc>
        <w:tc>
          <w:tcPr>
            <w:tcW w:w="777"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134.27</w:t>
            </w:r>
          </w:p>
        </w:tc>
        <w:tc>
          <w:tcPr>
            <w:tcW w:w="1129"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55.5±6.81</w:t>
            </w:r>
          </w:p>
        </w:tc>
        <w:tc>
          <w:tcPr>
            <w:tcW w:w="848"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159.16 ± 19.53</w:t>
            </w:r>
          </w:p>
        </w:tc>
        <w:tc>
          <w:tcPr>
            <w:tcW w:w="778"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4.56 ± 0.56</w:t>
            </w:r>
          </w:p>
        </w:tc>
      </w:tr>
      <w:tr w:rsidR="0079728D" w:rsidRPr="00A447BB" w:rsidTr="00057168">
        <w:trPr>
          <w:cantSplit/>
          <w:trHeight w:val="20"/>
        </w:trPr>
        <w:tc>
          <w:tcPr>
            <w:tcW w:w="26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11</w:t>
            </w:r>
          </w:p>
        </w:tc>
        <w:tc>
          <w:tcPr>
            <w:tcW w:w="1201"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 xml:space="preserve">Upper </w:t>
            </w:r>
            <w:proofErr w:type="spellStart"/>
            <w:r w:rsidRPr="006C1D21">
              <w:rPr>
                <w:rFonts w:asciiTheme="majorBidi" w:eastAsia="Times New Roman" w:hAnsiTheme="majorBidi" w:cstheme="majorBidi"/>
                <w:color w:val="000000"/>
              </w:rPr>
              <w:t>Faris</w:t>
            </w:r>
            <w:proofErr w:type="spellEnd"/>
            <w:r w:rsidRPr="006C1D21">
              <w:rPr>
                <w:rFonts w:asciiTheme="majorBidi" w:eastAsia="Times New Roman" w:hAnsiTheme="majorBidi" w:cstheme="majorBidi"/>
                <w:color w:val="000000"/>
              </w:rPr>
              <w:t xml:space="preserve"> Formation</w:t>
            </w:r>
          </w:p>
        </w:tc>
        <w:tc>
          <w:tcPr>
            <w:tcW w:w="777"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154</w:t>
            </w:r>
          </w:p>
        </w:tc>
        <w:tc>
          <w:tcPr>
            <w:tcW w:w="1129"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57.5±7.14</w:t>
            </w:r>
          </w:p>
        </w:tc>
        <w:tc>
          <w:tcPr>
            <w:tcW w:w="848"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164.89 ± 20.47</w:t>
            </w:r>
          </w:p>
        </w:tc>
        <w:tc>
          <w:tcPr>
            <w:tcW w:w="778"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4.12 ± 0.51</w:t>
            </w:r>
          </w:p>
        </w:tc>
      </w:tr>
      <w:tr w:rsidR="0079728D" w:rsidRPr="00A447BB" w:rsidTr="00057168">
        <w:trPr>
          <w:cantSplit/>
          <w:trHeight w:val="20"/>
        </w:trPr>
        <w:tc>
          <w:tcPr>
            <w:tcW w:w="26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12</w:t>
            </w:r>
          </w:p>
        </w:tc>
        <w:tc>
          <w:tcPr>
            <w:tcW w:w="1201"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proofErr w:type="spellStart"/>
            <w:r w:rsidRPr="006C1D21">
              <w:rPr>
                <w:rFonts w:asciiTheme="majorBidi" w:eastAsia="Times New Roman" w:hAnsiTheme="majorBidi" w:cstheme="majorBidi"/>
                <w:color w:val="000000"/>
              </w:rPr>
              <w:t>Qamchqa</w:t>
            </w:r>
            <w:proofErr w:type="spellEnd"/>
            <w:r w:rsidRPr="006C1D21">
              <w:rPr>
                <w:rFonts w:asciiTheme="majorBidi" w:eastAsia="Times New Roman" w:hAnsiTheme="majorBidi" w:cstheme="majorBidi"/>
                <w:color w:val="000000"/>
              </w:rPr>
              <w:t xml:space="preserve"> Formation</w:t>
            </w:r>
          </w:p>
        </w:tc>
        <w:tc>
          <w:tcPr>
            <w:tcW w:w="777"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161.25</w:t>
            </w:r>
          </w:p>
        </w:tc>
        <w:tc>
          <w:tcPr>
            <w:tcW w:w="1129"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123.25±17.34</w:t>
            </w:r>
          </w:p>
        </w:tc>
        <w:tc>
          <w:tcPr>
            <w:tcW w:w="848"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353.45 ± 49.73</w:t>
            </w:r>
          </w:p>
        </w:tc>
        <w:tc>
          <w:tcPr>
            <w:tcW w:w="778"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8.43 ± 1.18</w:t>
            </w:r>
          </w:p>
        </w:tc>
      </w:tr>
      <w:tr w:rsidR="0079728D" w:rsidRPr="00A447BB" w:rsidTr="00057168">
        <w:trPr>
          <w:cantSplit/>
          <w:trHeight w:val="20"/>
        </w:trPr>
        <w:tc>
          <w:tcPr>
            <w:tcW w:w="2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13</w:t>
            </w:r>
          </w:p>
        </w:tc>
        <w:tc>
          <w:tcPr>
            <w:tcW w:w="120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proofErr w:type="spellStart"/>
            <w:r w:rsidRPr="006C1D21">
              <w:rPr>
                <w:rFonts w:asciiTheme="majorBidi" w:eastAsia="Times New Roman" w:hAnsiTheme="majorBidi" w:cstheme="majorBidi"/>
                <w:color w:val="000000"/>
              </w:rPr>
              <w:t>Sheranish</w:t>
            </w:r>
            <w:proofErr w:type="spellEnd"/>
            <w:r w:rsidRPr="006C1D21">
              <w:rPr>
                <w:rFonts w:asciiTheme="majorBidi" w:eastAsia="Times New Roman" w:hAnsiTheme="majorBidi" w:cstheme="majorBidi"/>
                <w:color w:val="000000"/>
              </w:rPr>
              <w:t xml:space="preserve"> Formation</w:t>
            </w:r>
          </w:p>
        </w:tc>
        <w:tc>
          <w:tcPr>
            <w:tcW w:w="777"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133.21</w:t>
            </w:r>
          </w:p>
        </w:tc>
        <w:tc>
          <w:tcPr>
            <w:tcW w:w="1129"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59.35±18.11</w:t>
            </w:r>
          </w:p>
        </w:tc>
        <w:tc>
          <w:tcPr>
            <w:tcW w:w="848"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170.2 ± 51.93</w:t>
            </w:r>
          </w:p>
        </w:tc>
        <w:tc>
          <w:tcPr>
            <w:tcW w:w="778" w:type="pct"/>
            <w:tcBorders>
              <w:top w:val="nil"/>
              <w:left w:val="nil"/>
              <w:bottom w:val="single" w:sz="4" w:space="0" w:color="auto"/>
              <w:right w:val="single" w:sz="4" w:space="0" w:color="auto"/>
            </w:tcBorders>
            <w:shd w:val="clear" w:color="auto" w:fill="FFFFFF" w:themeFill="background1"/>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4.91 ± 1.5</w:t>
            </w:r>
          </w:p>
        </w:tc>
      </w:tr>
      <w:tr w:rsidR="0079728D" w:rsidRPr="00A447BB" w:rsidTr="00057168">
        <w:trPr>
          <w:cantSplit/>
          <w:trHeight w:val="20"/>
        </w:trPr>
        <w:tc>
          <w:tcPr>
            <w:tcW w:w="268" w:type="pct"/>
            <w:tcBorders>
              <w:top w:val="single" w:sz="4" w:space="0" w:color="auto"/>
            </w:tcBorders>
            <w:shd w:val="clear" w:color="000000" w:fill="FFFFFF"/>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 </w:t>
            </w:r>
          </w:p>
        </w:tc>
        <w:tc>
          <w:tcPr>
            <w:tcW w:w="1201" w:type="pct"/>
            <w:tcBorders>
              <w:top w:val="single" w:sz="4" w:space="0" w:color="auto"/>
              <w:right w:val="single" w:sz="4" w:space="0" w:color="auto"/>
            </w:tcBorders>
            <w:shd w:val="clear" w:color="auto" w:fill="auto"/>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p>
        </w:tc>
        <w:tc>
          <w:tcPr>
            <w:tcW w:w="77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Max</w:t>
            </w:r>
          </w:p>
        </w:tc>
        <w:tc>
          <w:tcPr>
            <w:tcW w:w="1129" w:type="pct"/>
            <w:tcBorders>
              <w:top w:val="nil"/>
              <w:left w:val="nil"/>
              <w:bottom w:val="single" w:sz="4" w:space="0" w:color="auto"/>
              <w:right w:val="single" w:sz="4" w:space="0" w:color="auto"/>
            </w:tcBorders>
            <w:shd w:val="clear" w:color="auto" w:fill="F2F2F2" w:themeFill="background1" w:themeFillShade="F2"/>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137±8.76</w:t>
            </w:r>
          </w:p>
        </w:tc>
        <w:tc>
          <w:tcPr>
            <w:tcW w:w="848" w:type="pct"/>
            <w:tcBorders>
              <w:top w:val="nil"/>
              <w:left w:val="nil"/>
              <w:bottom w:val="single" w:sz="4" w:space="0" w:color="auto"/>
              <w:right w:val="single" w:sz="4" w:space="0" w:color="auto"/>
            </w:tcBorders>
            <w:shd w:val="clear" w:color="auto" w:fill="F2F2F2" w:themeFill="background1" w:themeFillShade="F2"/>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392.88 ± 25.12</w:t>
            </w:r>
          </w:p>
        </w:tc>
        <w:tc>
          <w:tcPr>
            <w:tcW w:w="778" w:type="pct"/>
            <w:tcBorders>
              <w:top w:val="nil"/>
              <w:left w:val="nil"/>
              <w:bottom w:val="single" w:sz="4" w:space="0" w:color="auto"/>
              <w:right w:val="single" w:sz="4" w:space="0" w:color="auto"/>
            </w:tcBorders>
            <w:shd w:val="clear" w:color="auto" w:fill="F2F2F2" w:themeFill="background1" w:themeFillShade="F2"/>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8.86 ± 0.57</w:t>
            </w:r>
          </w:p>
        </w:tc>
      </w:tr>
      <w:tr w:rsidR="0079728D" w:rsidRPr="00A447BB" w:rsidTr="00057168">
        <w:trPr>
          <w:cantSplit/>
          <w:trHeight w:val="20"/>
        </w:trPr>
        <w:tc>
          <w:tcPr>
            <w:tcW w:w="268" w:type="pct"/>
            <w:tcBorders>
              <w:top w:val="nil"/>
              <w:left w:val="nil"/>
              <w:bottom w:val="nil"/>
              <w:right w:val="nil"/>
            </w:tcBorders>
            <w:shd w:val="clear" w:color="000000" w:fill="FFFFFF"/>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 </w:t>
            </w:r>
          </w:p>
        </w:tc>
        <w:tc>
          <w:tcPr>
            <w:tcW w:w="1201" w:type="pct"/>
            <w:tcBorders>
              <w:top w:val="nil"/>
              <w:left w:val="nil"/>
              <w:bottom w:val="nil"/>
              <w:right w:val="single" w:sz="4" w:space="0" w:color="auto"/>
            </w:tcBorders>
            <w:shd w:val="clear" w:color="auto" w:fill="auto"/>
            <w:vAlign w:val="center"/>
            <w:hideMark/>
          </w:tcPr>
          <w:p w:rsidR="0079728D" w:rsidRPr="006C1D21" w:rsidRDefault="0079728D" w:rsidP="00057168">
            <w:pPr>
              <w:spacing w:line="288" w:lineRule="auto"/>
              <w:rPr>
                <w:rFonts w:asciiTheme="majorBidi" w:eastAsia="Times New Roman" w:hAnsiTheme="majorBidi" w:cstheme="majorBidi"/>
                <w:color w:val="000000"/>
              </w:rPr>
            </w:pPr>
          </w:p>
        </w:tc>
        <w:tc>
          <w:tcPr>
            <w:tcW w:w="77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Min</w:t>
            </w:r>
          </w:p>
        </w:tc>
        <w:tc>
          <w:tcPr>
            <w:tcW w:w="1129" w:type="pct"/>
            <w:tcBorders>
              <w:top w:val="nil"/>
              <w:left w:val="nil"/>
              <w:bottom w:val="single" w:sz="4" w:space="0" w:color="auto"/>
              <w:right w:val="single" w:sz="4" w:space="0" w:color="auto"/>
            </w:tcBorders>
            <w:shd w:val="clear" w:color="auto" w:fill="F2F2F2" w:themeFill="background1" w:themeFillShade="F2"/>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16±4.24</w:t>
            </w:r>
          </w:p>
        </w:tc>
        <w:tc>
          <w:tcPr>
            <w:tcW w:w="84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45.88 ± 12.16</w:t>
            </w:r>
          </w:p>
        </w:tc>
        <w:tc>
          <w:tcPr>
            <w:tcW w:w="778" w:type="pct"/>
            <w:tcBorders>
              <w:top w:val="nil"/>
              <w:left w:val="nil"/>
              <w:bottom w:val="single" w:sz="4" w:space="0" w:color="auto"/>
              <w:right w:val="single" w:sz="4" w:space="0" w:color="auto"/>
            </w:tcBorders>
            <w:shd w:val="clear" w:color="auto" w:fill="F2F2F2" w:themeFill="background1" w:themeFillShade="F2"/>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1.13 ± 0.3</w:t>
            </w:r>
          </w:p>
        </w:tc>
      </w:tr>
      <w:tr w:rsidR="0079728D" w:rsidRPr="00A447BB" w:rsidTr="00057168">
        <w:trPr>
          <w:cantSplit/>
          <w:trHeight w:val="20"/>
        </w:trPr>
        <w:tc>
          <w:tcPr>
            <w:tcW w:w="268" w:type="pct"/>
            <w:tcBorders>
              <w:top w:val="nil"/>
              <w:left w:val="nil"/>
              <w:bottom w:val="nil"/>
              <w:right w:val="nil"/>
            </w:tcBorders>
            <w:shd w:val="clear" w:color="000000" w:fill="FFFFFF"/>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bookmarkStart w:id="54" w:name="_Hlk12568719"/>
            <w:r w:rsidRPr="006C1D21">
              <w:rPr>
                <w:rFonts w:asciiTheme="majorBidi" w:eastAsia="Times New Roman" w:hAnsiTheme="majorBidi" w:cstheme="majorBidi"/>
                <w:color w:val="000000"/>
              </w:rPr>
              <w:t> </w:t>
            </w:r>
          </w:p>
        </w:tc>
        <w:tc>
          <w:tcPr>
            <w:tcW w:w="1201" w:type="pct"/>
            <w:tcBorders>
              <w:top w:val="nil"/>
              <w:left w:val="nil"/>
              <w:bottom w:val="nil"/>
              <w:right w:val="single" w:sz="4" w:space="0" w:color="auto"/>
            </w:tcBorders>
            <w:shd w:val="clear" w:color="auto" w:fill="auto"/>
            <w:vAlign w:val="center"/>
            <w:hideMark/>
          </w:tcPr>
          <w:p w:rsidR="0079728D" w:rsidRPr="006C1D21" w:rsidRDefault="0079728D" w:rsidP="00057168">
            <w:pPr>
              <w:spacing w:line="288" w:lineRule="auto"/>
              <w:rPr>
                <w:rFonts w:asciiTheme="majorBidi" w:eastAsia="Times New Roman" w:hAnsiTheme="majorBidi" w:cstheme="majorBidi"/>
                <w:color w:val="000000"/>
              </w:rPr>
            </w:pPr>
          </w:p>
        </w:tc>
        <w:tc>
          <w:tcPr>
            <w:tcW w:w="77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Average</w:t>
            </w:r>
          </w:p>
        </w:tc>
        <w:tc>
          <w:tcPr>
            <w:tcW w:w="1129" w:type="pct"/>
            <w:tcBorders>
              <w:top w:val="nil"/>
              <w:left w:val="nil"/>
              <w:bottom w:val="single" w:sz="4" w:space="0" w:color="auto"/>
              <w:right w:val="single" w:sz="4" w:space="0" w:color="auto"/>
            </w:tcBorders>
            <w:shd w:val="clear" w:color="auto" w:fill="F2F2F2" w:themeFill="background1" w:themeFillShade="F2"/>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58.60±9.34</w:t>
            </w:r>
          </w:p>
        </w:tc>
        <w:tc>
          <w:tcPr>
            <w:tcW w:w="84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168.06 ± 26.78</w:t>
            </w:r>
          </w:p>
        </w:tc>
        <w:tc>
          <w:tcPr>
            <w:tcW w:w="778" w:type="pct"/>
            <w:tcBorders>
              <w:top w:val="nil"/>
              <w:left w:val="nil"/>
              <w:bottom w:val="nil"/>
              <w:right w:val="nil"/>
            </w:tcBorders>
            <w:shd w:val="clear" w:color="auto" w:fill="F2F2F2" w:themeFill="background1" w:themeFillShade="F2"/>
            <w:noWrap/>
            <w:vAlign w:val="center"/>
            <w:hideMark/>
          </w:tcPr>
          <w:p w:rsidR="0079728D" w:rsidRPr="006C1D21" w:rsidRDefault="0079728D" w:rsidP="00057168">
            <w:pPr>
              <w:spacing w:line="288" w:lineRule="auto"/>
              <w:rPr>
                <w:rFonts w:asciiTheme="majorBidi" w:eastAsia="Times New Roman" w:hAnsiTheme="majorBidi" w:cstheme="majorBidi"/>
                <w:color w:val="000000"/>
              </w:rPr>
            </w:pPr>
            <w:r w:rsidRPr="006C1D21">
              <w:rPr>
                <w:rFonts w:asciiTheme="majorBidi" w:eastAsia="Times New Roman" w:hAnsiTheme="majorBidi" w:cstheme="majorBidi"/>
                <w:color w:val="000000"/>
              </w:rPr>
              <w:t>4.38 ± 0.71</w:t>
            </w:r>
          </w:p>
        </w:tc>
      </w:tr>
    </w:tbl>
    <w:p w:rsidR="00033C3E" w:rsidRPr="0079728D" w:rsidRDefault="00033C3E" w:rsidP="00033C3E">
      <w:pPr>
        <w:pStyle w:val="NoSpacing"/>
        <w:spacing w:before="360" w:after="40" w:line="228" w:lineRule="auto"/>
        <w:jc w:val="both"/>
        <w:rPr>
          <w:rFonts w:cstheme="majorBidi"/>
          <w:b w:val="0"/>
          <w:bCs/>
          <w:sz w:val="20"/>
          <w:szCs w:val="20"/>
        </w:rPr>
      </w:pPr>
      <w:bookmarkStart w:id="55" w:name="OLE_LINK61"/>
      <w:bookmarkStart w:id="56" w:name="OLE_LINK66"/>
      <w:bookmarkStart w:id="57" w:name="OLE_LINK33"/>
      <w:bookmarkEnd w:id="54"/>
      <w:proofErr w:type="gramStart"/>
      <w:r w:rsidRPr="00033C3E">
        <w:rPr>
          <w:rFonts w:cstheme="majorBidi"/>
          <w:b w:val="0"/>
          <w:bCs/>
          <w:sz w:val="20"/>
          <w:szCs w:val="20"/>
        </w:rPr>
        <w:t>Table.</w:t>
      </w:r>
      <w:proofErr w:type="gramEnd"/>
      <w:r w:rsidRPr="00033C3E">
        <w:rPr>
          <w:rFonts w:cstheme="majorBidi"/>
          <w:b w:val="0"/>
          <w:bCs/>
          <w:sz w:val="20"/>
          <w:szCs w:val="20"/>
        </w:rPr>
        <w:t xml:space="preserve"> 3. The radon exhalation rate in term of area and mass.</w:t>
      </w:r>
    </w:p>
    <w:tbl>
      <w:tblPr>
        <w:tblStyle w:val="TableGrid"/>
        <w:tblW w:w="4122" w:type="pct"/>
        <w:shd w:val="clear" w:color="auto" w:fill="FFFFFF" w:themeFill="background1"/>
        <w:tblLook w:val="04A0"/>
      </w:tblPr>
      <w:tblGrid>
        <w:gridCol w:w="2090"/>
        <w:gridCol w:w="1704"/>
        <w:gridCol w:w="1984"/>
        <w:gridCol w:w="1702"/>
        <w:gridCol w:w="1133"/>
      </w:tblGrid>
      <w:tr w:rsidR="0079728D" w:rsidRPr="007B2BC0" w:rsidTr="00057168">
        <w:trPr>
          <w:cantSplit/>
          <w:trHeight w:val="20"/>
        </w:trPr>
        <w:tc>
          <w:tcPr>
            <w:tcW w:w="5000" w:type="pct"/>
            <w:gridSpan w:val="5"/>
            <w:tcBorders>
              <w:bottom w:val="single" w:sz="4" w:space="0" w:color="auto"/>
            </w:tcBorders>
            <w:shd w:val="clear" w:color="auto" w:fill="FFFFFF" w:themeFill="background1"/>
          </w:tcPr>
          <w:bookmarkEnd w:id="55"/>
          <w:bookmarkEnd w:id="56"/>
          <w:bookmarkEnd w:id="57"/>
          <w:p w:rsidR="0079728D" w:rsidRPr="006C1D21" w:rsidRDefault="0079728D" w:rsidP="00057168">
            <w:pPr>
              <w:spacing w:line="288" w:lineRule="auto"/>
              <w:rPr>
                <w:rFonts w:asciiTheme="majorBidi" w:hAnsiTheme="majorBidi" w:cstheme="majorBidi"/>
                <w:lang w:bidi="ar-IQ"/>
              </w:rPr>
            </w:pPr>
            <w:r w:rsidRPr="006C1D21">
              <w:rPr>
                <w:rFonts w:asciiTheme="majorBidi" w:hAnsiTheme="majorBidi" w:cstheme="majorBidi"/>
                <w:lang w:bidi="ar-IQ"/>
              </w:rPr>
              <w:t>Radon  exhalation rate in term of area and mass</w:t>
            </w:r>
          </w:p>
        </w:tc>
      </w:tr>
      <w:tr w:rsidR="0079728D" w:rsidRPr="007B2BC0" w:rsidTr="00057168">
        <w:trPr>
          <w:cantSplit/>
          <w:trHeight w:val="20"/>
        </w:trPr>
        <w:tc>
          <w:tcPr>
            <w:tcW w:w="1213" w:type="pct"/>
            <w:tcBorders>
              <w:bottom w:val="single" w:sz="4" w:space="0" w:color="auto"/>
            </w:tcBorders>
            <w:shd w:val="clear" w:color="auto" w:fill="FFFFFF" w:themeFill="background1"/>
            <w:vAlign w:val="center"/>
          </w:tcPr>
          <w:p w:rsidR="0079728D" w:rsidRPr="006C1D21" w:rsidRDefault="0079728D" w:rsidP="00057168">
            <w:pPr>
              <w:spacing w:line="288" w:lineRule="auto"/>
              <w:rPr>
                <w:rFonts w:asciiTheme="majorBidi" w:hAnsiTheme="majorBidi" w:cstheme="majorBidi"/>
                <w:lang w:bidi="ar-IQ"/>
              </w:rPr>
            </w:pPr>
            <w:r w:rsidRPr="006C1D21">
              <w:rPr>
                <w:rFonts w:asciiTheme="majorBidi" w:hAnsiTheme="majorBidi" w:cstheme="majorBidi"/>
                <w:lang w:bidi="ar-IQ"/>
              </w:rPr>
              <w:t>Country</w:t>
            </w:r>
          </w:p>
        </w:tc>
        <w:tc>
          <w:tcPr>
            <w:tcW w:w="989" w:type="pct"/>
            <w:tcBorders>
              <w:bottom w:val="single" w:sz="4" w:space="0" w:color="auto"/>
            </w:tcBorders>
            <w:shd w:val="clear" w:color="auto" w:fill="FFFFFF" w:themeFill="background1"/>
          </w:tcPr>
          <w:p w:rsidR="0079728D" w:rsidRPr="006C1D21" w:rsidRDefault="0079728D" w:rsidP="005739B1">
            <w:pPr>
              <w:spacing w:line="288" w:lineRule="auto"/>
              <w:ind w:firstLine="0"/>
              <w:rPr>
                <w:rFonts w:asciiTheme="majorBidi" w:hAnsiTheme="majorBidi" w:cstheme="majorBidi"/>
                <w:lang w:bidi="ar-IQ"/>
              </w:rPr>
            </w:pPr>
            <w:r w:rsidRPr="006C1D21">
              <w:rPr>
                <w:rFonts w:asciiTheme="majorBidi" w:hAnsiTheme="majorBidi" w:cstheme="majorBidi"/>
                <w:vertAlign w:val="superscript"/>
                <w:lang w:bidi="ar-IQ"/>
              </w:rPr>
              <w:t>222</w:t>
            </w:r>
            <w:r w:rsidR="007D6C50" w:rsidRPr="006C1D21">
              <w:rPr>
                <w:rFonts w:asciiTheme="majorBidi" w:hAnsiTheme="majorBidi" w:cstheme="majorBidi"/>
                <w:vertAlign w:val="superscript"/>
                <w:lang w:bidi="ar-IQ"/>
              </w:rPr>
              <w:t>-</w:t>
            </w:r>
            <w:r w:rsidRPr="006C1D21">
              <w:rPr>
                <w:rFonts w:asciiTheme="majorBidi" w:hAnsiTheme="majorBidi" w:cstheme="majorBidi"/>
                <w:lang w:bidi="ar-IQ"/>
              </w:rPr>
              <w:t xml:space="preserve">Rn concentration </w:t>
            </w:r>
            <w:proofErr w:type="spellStart"/>
            <w:r w:rsidRPr="006C1D21">
              <w:rPr>
                <w:rFonts w:asciiTheme="majorBidi" w:hAnsiTheme="majorBidi" w:cstheme="majorBidi"/>
                <w:lang w:bidi="ar-IQ"/>
              </w:rPr>
              <w:t>Bq</w:t>
            </w:r>
            <w:proofErr w:type="spellEnd"/>
            <w:r w:rsidRPr="006C1D21">
              <w:rPr>
                <w:rFonts w:asciiTheme="majorBidi" w:hAnsiTheme="majorBidi" w:cstheme="majorBidi"/>
                <w:lang w:bidi="ar-IQ"/>
              </w:rPr>
              <w:t>/m</w:t>
            </w:r>
            <w:r w:rsidRPr="006C1D21">
              <w:rPr>
                <w:rFonts w:asciiTheme="majorBidi" w:hAnsiTheme="majorBidi" w:cstheme="majorBidi"/>
                <w:vertAlign w:val="superscript"/>
                <w:lang w:bidi="ar-IQ"/>
              </w:rPr>
              <w:t>3</w:t>
            </w:r>
          </w:p>
        </w:tc>
        <w:tc>
          <w:tcPr>
            <w:tcW w:w="1152" w:type="pct"/>
            <w:tcBorders>
              <w:bottom w:val="single" w:sz="4" w:space="0" w:color="auto"/>
            </w:tcBorders>
            <w:shd w:val="clear" w:color="auto" w:fill="FFFFFF" w:themeFill="background1"/>
            <w:vAlign w:val="center"/>
          </w:tcPr>
          <w:p w:rsidR="0079728D" w:rsidRPr="006C1D21" w:rsidRDefault="0079728D" w:rsidP="005739B1">
            <w:pPr>
              <w:spacing w:line="288" w:lineRule="auto"/>
              <w:ind w:firstLine="34"/>
              <w:rPr>
                <w:rFonts w:asciiTheme="majorBidi" w:hAnsiTheme="majorBidi" w:cstheme="majorBidi"/>
                <w:lang w:bidi="ar-IQ"/>
              </w:rPr>
            </w:pPr>
            <w:bookmarkStart w:id="58" w:name="OLE_LINK94"/>
            <w:bookmarkStart w:id="59" w:name="OLE_LINK95"/>
            <w:r w:rsidRPr="006C1D21">
              <w:rPr>
                <w:rFonts w:asciiTheme="majorBidi" w:hAnsiTheme="majorBidi" w:cstheme="majorBidi"/>
                <w:vertAlign w:val="superscript"/>
                <w:lang w:bidi="ar-IQ"/>
              </w:rPr>
              <w:t>222</w:t>
            </w:r>
            <w:r w:rsidR="007D6C50" w:rsidRPr="006C1D21">
              <w:rPr>
                <w:rFonts w:asciiTheme="majorBidi" w:hAnsiTheme="majorBidi" w:cstheme="majorBidi"/>
                <w:vertAlign w:val="superscript"/>
                <w:lang w:bidi="ar-IQ"/>
              </w:rPr>
              <w:t>-</w:t>
            </w:r>
            <w:r w:rsidRPr="006C1D21">
              <w:rPr>
                <w:rFonts w:asciiTheme="majorBidi" w:hAnsiTheme="majorBidi" w:cstheme="majorBidi"/>
                <w:lang w:bidi="ar-IQ"/>
              </w:rPr>
              <w:t>Rn</w:t>
            </w:r>
            <w:bookmarkStart w:id="60" w:name="OLE_LINK137"/>
            <w:bookmarkStart w:id="61" w:name="OLE_LINK138"/>
            <w:bookmarkEnd w:id="58"/>
            <w:bookmarkEnd w:id="59"/>
            <w:r w:rsidR="005739B1" w:rsidRPr="006C1D21">
              <w:rPr>
                <w:rFonts w:asciiTheme="majorBidi" w:hAnsiTheme="majorBidi" w:cstheme="majorBidi"/>
                <w:lang w:bidi="ar-IQ"/>
              </w:rPr>
              <w:t xml:space="preserve"> </w:t>
            </w:r>
            <w:r w:rsidRPr="006C1D21">
              <w:rPr>
                <w:rFonts w:asciiTheme="majorBidi" w:hAnsiTheme="majorBidi" w:cstheme="majorBidi"/>
                <w:lang w:bidi="ar-IQ"/>
              </w:rPr>
              <w:t>mBq.m</w:t>
            </w:r>
            <w:r w:rsidRPr="006C1D21">
              <w:rPr>
                <w:rFonts w:asciiTheme="majorBidi" w:hAnsiTheme="majorBidi" w:cstheme="majorBidi"/>
                <w:vertAlign w:val="superscript"/>
                <w:lang w:bidi="ar-IQ"/>
              </w:rPr>
              <w:t>-2</w:t>
            </w:r>
            <w:r w:rsidRPr="006C1D21">
              <w:rPr>
                <w:rFonts w:asciiTheme="majorBidi" w:hAnsiTheme="majorBidi" w:cstheme="majorBidi"/>
                <w:lang w:bidi="ar-IQ"/>
              </w:rPr>
              <w:t>.h</w:t>
            </w:r>
            <w:r w:rsidRPr="006C1D21">
              <w:rPr>
                <w:rFonts w:asciiTheme="majorBidi" w:hAnsiTheme="majorBidi" w:cstheme="majorBidi"/>
                <w:vertAlign w:val="superscript"/>
                <w:lang w:bidi="ar-IQ"/>
              </w:rPr>
              <w:t>-1</w:t>
            </w:r>
            <w:bookmarkEnd w:id="60"/>
            <w:bookmarkEnd w:id="61"/>
          </w:p>
        </w:tc>
        <w:tc>
          <w:tcPr>
            <w:tcW w:w="988" w:type="pct"/>
            <w:tcBorders>
              <w:bottom w:val="single" w:sz="4" w:space="0" w:color="auto"/>
            </w:tcBorders>
            <w:shd w:val="clear" w:color="auto" w:fill="FFFFFF" w:themeFill="background1"/>
            <w:vAlign w:val="center"/>
          </w:tcPr>
          <w:p w:rsidR="0079728D" w:rsidRPr="006C1D21" w:rsidRDefault="0079728D" w:rsidP="005739B1">
            <w:pPr>
              <w:spacing w:line="288" w:lineRule="auto"/>
              <w:ind w:firstLine="34"/>
              <w:rPr>
                <w:rFonts w:asciiTheme="majorBidi" w:hAnsiTheme="majorBidi" w:cstheme="majorBidi"/>
                <w:lang w:bidi="ar-IQ"/>
              </w:rPr>
            </w:pPr>
            <w:r w:rsidRPr="006C1D21">
              <w:rPr>
                <w:rFonts w:asciiTheme="majorBidi" w:hAnsiTheme="majorBidi" w:cstheme="majorBidi"/>
                <w:vertAlign w:val="superscript"/>
                <w:lang w:bidi="ar-IQ"/>
              </w:rPr>
              <w:t>222</w:t>
            </w:r>
            <w:r w:rsidR="007D6C50" w:rsidRPr="006C1D21">
              <w:rPr>
                <w:rFonts w:asciiTheme="majorBidi" w:hAnsiTheme="majorBidi" w:cstheme="majorBidi"/>
                <w:vertAlign w:val="superscript"/>
                <w:lang w:bidi="ar-IQ"/>
              </w:rPr>
              <w:t>-</w:t>
            </w:r>
            <w:r w:rsidRPr="006C1D21">
              <w:rPr>
                <w:rFonts w:asciiTheme="majorBidi" w:hAnsiTheme="majorBidi" w:cstheme="majorBidi"/>
                <w:lang w:bidi="ar-IQ"/>
              </w:rPr>
              <w:t>Rn</w:t>
            </w:r>
          </w:p>
          <w:p w:rsidR="0079728D" w:rsidRPr="006C1D21" w:rsidRDefault="0079728D" w:rsidP="00057168">
            <w:pPr>
              <w:spacing w:line="288" w:lineRule="auto"/>
              <w:rPr>
                <w:rFonts w:asciiTheme="majorBidi" w:hAnsiTheme="majorBidi" w:cstheme="majorBidi"/>
                <w:lang w:bidi="ar-IQ"/>
              </w:rPr>
            </w:pPr>
            <w:r w:rsidRPr="006C1D21">
              <w:rPr>
                <w:rFonts w:asciiTheme="majorBidi" w:hAnsiTheme="majorBidi" w:cstheme="majorBidi"/>
                <w:lang w:bidi="ar-IQ"/>
              </w:rPr>
              <w:t>mBq.kg</w:t>
            </w:r>
            <w:r w:rsidRPr="006C1D21">
              <w:rPr>
                <w:rFonts w:asciiTheme="majorBidi" w:hAnsiTheme="majorBidi" w:cstheme="majorBidi"/>
                <w:vertAlign w:val="superscript"/>
                <w:lang w:bidi="ar-IQ"/>
              </w:rPr>
              <w:t>-1</w:t>
            </w:r>
            <w:r w:rsidRPr="006C1D21">
              <w:rPr>
                <w:rFonts w:asciiTheme="majorBidi" w:hAnsiTheme="majorBidi" w:cstheme="majorBidi"/>
                <w:lang w:bidi="ar-IQ"/>
              </w:rPr>
              <w:t>.h</w:t>
            </w:r>
            <w:r w:rsidRPr="006C1D21">
              <w:rPr>
                <w:rFonts w:asciiTheme="majorBidi" w:hAnsiTheme="majorBidi" w:cstheme="majorBidi"/>
                <w:vertAlign w:val="superscript"/>
                <w:lang w:bidi="ar-IQ"/>
              </w:rPr>
              <w:t>-1</w:t>
            </w:r>
          </w:p>
        </w:tc>
        <w:tc>
          <w:tcPr>
            <w:tcW w:w="658" w:type="pct"/>
            <w:tcBorders>
              <w:bottom w:val="single" w:sz="4" w:space="0" w:color="auto"/>
            </w:tcBorders>
            <w:shd w:val="clear" w:color="auto" w:fill="FFFFFF" w:themeFill="background1"/>
            <w:vAlign w:val="center"/>
          </w:tcPr>
          <w:p w:rsidR="0079728D" w:rsidRPr="006C1D21" w:rsidRDefault="0079728D" w:rsidP="005739B1">
            <w:pPr>
              <w:spacing w:line="288" w:lineRule="auto"/>
              <w:ind w:firstLine="33"/>
              <w:rPr>
                <w:rFonts w:asciiTheme="majorBidi" w:hAnsiTheme="majorBidi" w:cstheme="majorBidi"/>
                <w:lang w:bidi="ar-IQ"/>
              </w:rPr>
            </w:pPr>
            <w:r w:rsidRPr="006C1D21">
              <w:rPr>
                <w:rFonts w:asciiTheme="majorBidi" w:hAnsiTheme="majorBidi" w:cstheme="majorBidi"/>
                <w:lang w:bidi="ar-IQ"/>
              </w:rPr>
              <w:t>Reference</w:t>
            </w:r>
          </w:p>
        </w:tc>
      </w:tr>
      <w:tr w:rsidR="0079728D" w:rsidRPr="007B2BC0" w:rsidTr="00057168">
        <w:trPr>
          <w:cantSplit/>
          <w:trHeight w:val="20"/>
        </w:trPr>
        <w:tc>
          <w:tcPr>
            <w:tcW w:w="1213" w:type="pct"/>
            <w:tcBorders>
              <w:bottom w:val="single" w:sz="4" w:space="0" w:color="auto"/>
            </w:tcBorders>
            <w:shd w:val="clear" w:color="auto" w:fill="FFFFFF" w:themeFill="background1"/>
            <w:vAlign w:val="center"/>
          </w:tcPr>
          <w:p w:rsidR="0079728D" w:rsidRPr="006C1D21" w:rsidRDefault="0079728D" w:rsidP="00057168">
            <w:pPr>
              <w:spacing w:line="288" w:lineRule="auto"/>
              <w:rPr>
                <w:rFonts w:asciiTheme="majorBidi" w:hAnsiTheme="majorBidi" w:cstheme="majorBidi"/>
                <w:lang w:bidi="ar-IQ"/>
              </w:rPr>
            </w:pPr>
            <w:r w:rsidRPr="006C1D21">
              <w:rPr>
                <w:rFonts w:asciiTheme="majorBidi" w:hAnsiTheme="majorBidi" w:cstheme="majorBidi"/>
                <w:lang w:bidi="ar-IQ"/>
              </w:rPr>
              <w:t xml:space="preserve">Tawky-T49 different soil of well depth, </w:t>
            </w:r>
          </w:p>
          <w:p w:rsidR="0079728D" w:rsidRPr="006C1D21" w:rsidRDefault="0079728D" w:rsidP="00057168">
            <w:pPr>
              <w:spacing w:line="288" w:lineRule="auto"/>
              <w:rPr>
                <w:rFonts w:asciiTheme="majorBidi" w:hAnsiTheme="majorBidi" w:cstheme="majorBidi"/>
              </w:rPr>
            </w:pPr>
            <w:r w:rsidRPr="006C1D21">
              <w:rPr>
                <w:rFonts w:asciiTheme="majorBidi" w:hAnsiTheme="majorBidi" w:cstheme="majorBidi"/>
              </w:rPr>
              <w:t xml:space="preserve">Different Formation </w:t>
            </w:r>
          </w:p>
        </w:tc>
        <w:tc>
          <w:tcPr>
            <w:tcW w:w="989" w:type="pct"/>
            <w:tcBorders>
              <w:bottom w:val="single" w:sz="4" w:space="0" w:color="auto"/>
            </w:tcBorders>
            <w:shd w:val="clear" w:color="auto" w:fill="FFFFFF" w:themeFill="background1"/>
          </w:tcPr>
          <w:p w:rsidR="0079728D" w:rsidRPr="006C1D21" w:rsidRDefault="0079728D" w:rsidP="00057168">
            <w:pPr>
              <w:spacing w:line="288" w:lineRule="auto"/>
              <w:rPr>
                <w:rFonts w:asciiTheme="majorBidi" w:hAnsiTheme="majorBidi" w:cstheme="majorBidi"/>
              </w:rPr>
            </w:pPr>
            <w:r w:rsidRPr="006C1D21">
              <w:rPr>
                <w:rFonts w:asciiTheme="majorBidi" w:hAnsiTheme="majorBidi" w:cstheme="majorBidi"/>
              </w:rPr>
              <w:t>44.53+9.52</w:t>
            </w:r>
          </w:p>
          <w:p w:rsidR="0079728D" w:rsidRPr="006C1D21" w:rsidRDefault="0079728D" w:rsidP="00057168">
            <w:pPr>
              <w:spacing w:line="288" w:lineRule="auto"/>
              <w:rPr>
                <w:rFonts w:asciiTheme="majorBidi" w:hAnsiTheme="majorBidi" w:cstheme="majorBidi"/>
              </w:rPr>
            </w:pPr>
          </w:p>
          <w:p w:rsidR="0079728D" w:rsidRPr="006C1D21" w:rsidRDefault="0079728D" w:rsidP="00057168">
            <w:pPr>
              <w:spacing w:line="288" w:lineRule="auto"/>
              <w:rPr>
                <w:rFonts w:asciiTheme="majorBidi" w:hAnsiTheme="majorBidi" w:cstheme="majorBidi"/>
                <w:lang w:bidi="ar-IQ"/>
              </w:rPr>
            </w:pPr>
            <w:r w:rsidRPr="006C1D21">
              <w:rPr>
                <w:rFonts w:asciiTheme="majorBidi" w:hAnsiTheme="majorBidi" w:cstheme="majorBidi"/>
              </w:rPr>
              <w:t>58.60±9.34</w:t>
            </w:r>
          </w:p>
        </w:tc>
        <w:tc>
          <w:tcPr>
            <w:tcW w:w="1152" w:type="pct"/>
            <w:tcBorders>
              <w:bottom w:val="single" w:sz="4" w:space="0" w:color="auto"/>
            </w:tcBorders>
            <w:shd w:val="clear" w:color="auto" w:fill="FFFFFF" w:themeFill="background1"/>
          </w:tcPr>
          <w:p w:rsidR="0079728D" w:rsidRPr="006C1D21" w:rsidRDefault="0079728D" w:rsidP="00057168">
            <w:pPr>
              <w:spacing w:line="288" w:lineRule="auto"/>
              <w:rPr>
                <w:rFonts w:asciiTheme="majorBidi" w:hAnsiTheme="majorBidi" w:cstheme="majorBidi"/>
                <w:lang w:bidi="ar-IQ"/>
              </w:rPr>
            </w:pPr>
            <w:r w:rsidRPr="006C1D21">
              <w:rPr>
                <w:rFonts w:asciiTheme="majorBidi" w:hAnsiTheme="majorBidi" w:cstheme="majorBidi"/>
                <w:lang w:bidi="ar-IQ"/>
              </w:rPr>
              <w:t>125.08±26.45</w:t>
            </w:r>
          </w:p>
          <w:p w:rsidR="0079728D" w:rsidRPr="006C1D21" w:rsidRDefault="0079728D" w:rsidP="00057168">
            <w:pPr>
              <w:spacing w:line="288" w:lineRule="auto"/>
              <w:rPr>
                <w:rFonts w:asciiTheme="majorBidi" w:hAnsiTheme="majorBidi" w:cstheme="majorBidi"/>
                <w:lang w:bidi="ar-IQ"/>
              </w:rPr>
            </w:pPr>
          </w:p>
          <w:p w:rsidR="0079728D" w:rsidRPr="006C1D21" w:rsidRDefault="0079728D" w:rsidP="00057168">
            <w:pPr>
              <w:spacing w:line="288" w:lineRule="auto"/>
              <w:rPr>
                <w:rFonts w:asciiTheme="majorBidi" w:hAnsiTheme="majorBidi" w:cstheme="majorBidi"/>
                <w:lang w:bidi="ar-IQ"/>
              </w:rPr>
            </w:pPr>
            <w:r w:rsidRPr="006C1D21">
              <w:rPr>
                <w:rFonts w:asciiTheme="majorBidi" w:hAnsiTheme="majorBidi" w:cstheme="majorBidi"/>
              </w:rPr>
              <w:t>168.06 ± 26.78</w:t>
            </w:r>
          </w:p>
        </w:tc>
        <w:tc>
          <w:tcPr>
            <w:tcW w:w="988" w:type="pct"/>
            <w:tcBorders>
              <w:bottom w:val="single" w:sz="4" w:space="0" w:color="auto"/>
            </w:tcBorders>
            <w:shd w:val="clear" w:color="auto" w:fill="FFFFFF" w:themeFill="background1"/>
          </w:tcPr>
          <w:p w:rsidR="0079728D" w:rsidRPr="006C1D21" w:rsidRDefault="0079728D" w:rsidP="00057168">
            <w:pPr>
              <w:spacing w:line="288" w:lineRule="auto"/>
              <w:rPr>
                <w:rFonts w:asciiTheme="majorBidi" w:hAnsiTheme="majorBidi" w:cstheme="majorBidi"/>
                <w:lang w:bidi="ar-IQ"/>
              </w:rPr>
            </w:pPr>
            <w:r w:rsidRPr="006C1D21">
              <w:rPr>
                <w:rFonts w:asciiTheme="majorBidi" w:hAnsiTheme="majorBidi" w:cstheme="majorBidi"/>
                <w:lang w:bidi="ar-IQ"/>
              </w:rPr>
              <w:t>3.52±0.74</w:t>
            </w:r>
          </w:p>
          <w:p w:rsidR="0079728D" w:rsidRPr="006C1D21" w:rsidRDefault="0079728D" w:rsidP="00057168">
            <w:pPr>
              <w:spacing w:line="288" w:lineRule="auto"/>
              <w:rPr>
                <w:rFonts w:asciiTheme="majorBidi" w:hAnsiTheme="majorBidi" w:cstheme="majorBidi"/>
              </w:rPr>
            </w:pPr>
          </w:p>
          <w:p w:rsidR="0079728D" w:rsidRPr="006C1D21" w:rsidRDefault="0079728D" w:rsidP="00057168">
            <w:pPr>
              <w:spacing w:line="288" w:lineRule="auto"/>
              <w:rPr>
                <w:rFonts w:asciiTheme="majorBidi" w:hAnsiTheme="majorBidi" w:cstheme="majorBidi"/>
                <w:lang w:bidi="ar-IQ"/>
              </w:rPr>
            </w:pPr>
            <w:r w:rsidRPr="006C1D21">
              <w:rPr>
                <w:rFonts w:asciiTheme="majorBidi" w:hAnsiTheme="majorBidi" w:cstheme="majorBidi"/>
              </w:rPr>
              <w:t>4.38 ± 0.71</w:t>
            </w:r>
          </w:p>
        </w:tc>
        <w:tc>
          <w:tcPr>
            <w:tcW w:w="658" w:type="pct"/>
            <w:tcBorders>
              <w:bottom w:val="single" w:sz="4" w:space="0" w:color="auto"/>
            </w:tcBorders>
            <w:shd w:val="clear" w:color="auto" w:fill="FFFFFF" w:themeFill="background1"/>
          </w:tcPr>
          <w:p w:rsidR="0079728D" w:rsidRPr="006C1D21" w:rsidRDefault="0079728D" w:rsidP="00057168">
            <w:pPr>
              <w:spacing w:line="288" w:lineRule="auto"/>
              <w:rPr>
                <w:rFonts w:asciiTheme="majorBidi" w:hAnsiTheme="majorBidi" w:cstheme="majorBidi"/>
                <w:lang w:bidi="ar-IQ"/>
              </w:rPr>
            </w:pPr>
            <w:r w:rsidRPr="006C1D21">
              <w:rPr>
                <w:rFonts w:asciiTheme="majorBidi" w:hAnsiTheme="majorBidi" w:cstheme="majorBidi"/>
                <w:lang w:bidi="ar-IQ"/>
              </w:rPr>
              <w:t>Present study</w:t>
            </w:r>
          </w:p>
        </w:tc>
      </w:tr>
      <w:tr w:rsidR="0079728D" w:rsidRPr="007B2BC0" w:rsidTr="00057168">
        <w:trPr>
          <w:cantSplit/>
          <w:trHeight w:val="20"/>
        </w:trPr>
        <w:tc>
          <w:tcPr>
            <w:tcW w:w="1213" w:type="pct"/>
            <w:tcBorders>
              <w:top w:val="single" w:sz="4" w:space="0" w:color="auto"/>
            </w:tcBorders>
            <w:shd w:val="clear" w:color="auto" w:fill="FFFFFF" w:themeFill="background1"/>
          </w:tcPr>
          <w:p w:rsidR="0079728D" w:rsidRPr="006C1D21" w:rsidRDefault="0079728D" w:rsidP="00057168">
            <w:pPr>
              <w:spacing w:line="288" w:lineRule="auto"/>
              <w:rPr>
                <w:rFonts w:asciiTheme="majorBidi" w:hAnsiTheme="majorBidi" w:cstheme="majorBidi"/>
                <w:color w:val="000000"/>
              </w:rPr>
            </w:pPr>
            <w:r w:rsidRPr="006C1D21">
              <w:rPr>
                <w:rFonts w:asciiTheme="majorBidi" w:hAnsiTheme="majorBidi" w:cstheme="majorBidi"/>
                <w:color w:val="000000"/>
              </w:rPr>
              <w:t>India</w:t>
            </w:r>
          </w:p>
        </w:tc>
        <w:tc>
          <w:tcPr>
            <w:tcW w:w="989" w:type="pct"/>
            <w:tcBorders>
              <w:top w:val="single" w:sz="4" w:space="0" w:color="auto"/>
            </w:tcBorders>
            <w:shd w:val="clear" w:color="auto" w:fill="FFFFFF" w:themeFill="background1"/>
          </w:tcPr>
          <w:p w:rsidR="0079728D" w:rsidRPr="006C1D21" w:rsidRDefault="0079728D" w:rsidP="00057168">
            <w:pPr>
              <w:autoSpaceDE w:val="0"/>
              <w:autoSpaceDN w:val="0"/>
              <w:adjustRightInd w:val="0"/>
              <w:spacing w:line="288" w:lineRule="auto"/>
              <w:rPr>
                <w:rFonts w:asciiTheme="majorBidi" w:hAnsiTheme="majorBidi" w:cstheme="majorBidi"/>
              </w:rPr>
            </w:pPr>
            <w:r w:rsidRPr="006C1D21">
              <w:rPr>
                <w:rFonts w:asciiTheme="majorBidi" w:hAnsiTheme="majorBidi" w:cstheme="majorBidi"/>
              </w:rPr>
              <w:t>7.46±0.69</w:t>
            </w:r>
          </w:p>
        </w:tc>
        <w:tc>
          <w:tcPr>
            <w:tcW w:w="1152" w:type="pct"/>
            <w:tcBorders>
              <w:top w:val="single" w:sz="4" w:space="0" w:color="auto"/>
            </w:tcBorders>
            <w:shd w:val="clear" w:color="auto" w:fill="FFFFFF" w:themeFill="background1"/>
          </w:tcPr>
          <w:p w:rsidR="0079728D" w:rsidRPr="006C1D21" w:rsidRDefault="0079728D" w:rsidP="00057168">
            <w:pPr>
              <w:autoSpaceDE w:val="0"/>
              <w:autoSpaceDN w:val="0"/>
              <w:adjustRightInd w:val="0"/>
              <w:spacing w:line="288" w:lineRule="auto"/>
              <w:rPr>
                <w:rFonts w:asciiTheme="majorBidi" w:hAnsiTheme="majorBidi" w:cstheme="majorBidi"/>
              </w:rPr>
            </w:pPr>
            <w:r w:rsidRPr="006C1D21">
              <w:rPr>
                <w:rFonts w:asciiTheme="majorBidi" w:hAnsiTheme="majorBidi" w:cstheme="majorBidi"/>
              </w:rPr>
              <w:t>246.63–1100</w:t>
            </w:r>
          </w:p>
        </w:tc>
        <w:tc>
          <w:tcPr>
            <w:tcW w:w="988" w:type="pct"/>
            <w:tcBorders>
              <w:top w:val="single" w:sz="4" w:space="0" w:color="auto"/>
            </w:tcBorders>
            <w:shd w:val="clear" w:color="auto" w:fill="FFFFFF" w:themeFill="background1"/>
          </w:tcPr>
          <w:p w:rsidR="0079728D" w:rsidRPr="006C1D21" w:rsidRDefault="0079728D" w:rsidP="00057168">
            <w:pPr>
              <w:spacing w:line="288" w:lineRule="auto"/>
              <w:rPr>
                <w:rFonts w:asciiTheme="majorBidi" w:hAnsiTheme="majorBidi" w:cstheme="majorBidi"/>
                <w:lang w:bidi="ar-IQ"/>
              </w:rPr>
            </w:pPr>
            <w:r w:rsidRPr="006C1D21">
              <w:rPr>
                <w:rFonts w:asciiTheme="majorBidi" w:hAnsiTheme="majorBidi" w:cstheme="majorBidi"/>
              </w:rPr>
              <w:t>7.17–31.98</w:t>
            </w:r>
          </w:p>
        </w:tc>
        <w:tc>
          <w:tcPr>
            <w:tcW w:w="658" w:type="pct"/>
            <w:tcBorders>
              <w:top w:val="single" w:sz="4" w:space="0" w:color="auto"/>
            </w:tcBorders>
            <w:shd w:val="clear" w:color="auto" w:fill="FFFFFF" w:themeFill="background1"/>
          </w:tcPr>
          <w:p w:rsidR="0079728D" w:rsidRPr="006C1D21" w:rsidRDefault="00D43566" w:rsidP="00057168">
            <w:pPr>
              <w:spacing w:line="288" w:lineRule="auto"/>
              <w:rPr>
                <w:rFonts w:asciiTheme="majorBidi" w:hAnsiTheme="majorBidi" w:cstheme="majorBidi"/>
                <w:vertAlign w:val="superscript"/>
                <w:lang w:bidi="ar-IQ"/>
              </w:rPr>
            </w:pPr>
            <w:r w:rsidRPr="006C1D21">
              <w:rPr>
                <w:rFonts w:asciiTheme="majorBidi" w:hAnsiTheme="majorBidi" w:cstheme="majorBidi"/>
              </w:rPr>
              <w:fldChar w:fldCharType="begin" w:fldLock="1"/>
            </w:r>
            <w:r w:rsidR="0079728D" w:rsidRPr="006C1D21">
              <w:rPr>
                <w:rFonts w:asciiTheme="majorBidi" w:hAnsiTheme="majorBidi" w:cstheme="majorBidi"/>
              </w:rPr>
              <w:instrText>ADDIN CSL_CITATION {"citationItems":[{"id":"ITEM-1","itemData":{"DOI":"10.1016/j.radmeas.2008.04.050","ISSN":"13504487","abstract":"Environmental radiation exists as a consequence of cosmic, terrestrial and man made sources. Terrestrial radiation are emitted from natural radionuclide present in varying amounts in all types of soils, rocks, air, water and other environmental materials; radon is emitted from the soil surface, although secondary contributors include the oceans, natural gas, geothermal fluids, volcanic gases, ventilation from caves and mines, and combustion of coal. Radon and thoron levels were measured in soil-gas, ground water and indoor air in Budhakedar area of Tehri Garhwal, India. Radon concentrations in soil and groundwater of the Budhakedar area were found to vary from 1.10 ± 0.29 to 31.8 ± 1.6 kBq / m3 with an average value 7.46 ± 0.69 kBq / m3 and 8 ± 1 Bq / l to 3.05 ± 0.02 kBq / l with mean value 0.51 ± 0.01 kBq / l, respectively. Measurement of indoor radon, thoron and their daughter products were also measured in the houses of the same area for four different seasons (autumn, winter, summer and rainy) using LR-115 plastic track detectors. The detector is fixed in a twin chamber radon dosimeter, which can record the values of radon, thoron and their decay products separately. The film fixed in bare mode holder gives the concentrations of radon, thoron and their progeny while the films fixed inside the cup with filter and membrane modes give the concentrations of radon/thoron gases and of pure radon gas, respectively. Detailed analysis of the effects of seasonal variation on radon, thoron and their decay products inside the houses are reported in this paper. © 2008 Elsevier Ltd. All rights reserved.","author":[{"dropping-particle":"","family":"Prasad","given":"Ganesh","non-dropping-particle":"","parse-names":false,"suffix":""},{"dropping-particle":"","family":"Prasad","given":"Yogesh","non-dropping-particle":"","parse-names":false,"suffix":""},{"dropping-particle":"","family":"Gusain","given":"G. S.","non-dropping-particle":"","parse-names":false,"suffix":""},{"dropping-particle":"","family":"Ramola","given":"R. C.","non-dropping-particle":"","parse-names":false,"suffix":""}],"container-title":"Radiation Measurements","id":"ITEM-1","issue":"SUPPL.1","issued":{"date-parts":[["2008"]]},"page":"375-379","title":"Measurement of radon and thoron levels in soil, water and indoor atmosphere of Budhakedar in Garhwal Himalaya, India","type":"article-journal","volume":"43"},"uris":["http://www.mendeley.com/documents/?uuid=204fde74-f387-4223-86a2-53333240ef58"]}],"mendeley":{"formattedCitation":"[5]","plainTextFormattedCitation":"[5]","previouslyFormattedCitation":"[5]"},"properties":{"noteIndex":0},"schema":"https://github.com/citation-style-language/schema/raw/master/csl-citation.json"}</w:instrText>
            </w:r>
            <w:r w:rsidRPr="006C1D21">
              <w:rPr>
                <w:rFonts w:asciiTheme="majorBidi" w:hAnsiTheme="majorBidi" w:cstheme="majorBidi"/>
              </w:rPr>
              <w:fldChar w:fldCharType="separate"/>
            </w:r>
            <w:r w:rsidR="0079728D" w:rsidRPr="006C1D21">
              <w:rPr>
                <w:rFonts w:asciiTheme="majorBidi" w:hAnsiTheme="majorBidi" w:cstheme="majorBidi"/>
                <w:noProof/>
              </w:rPr>
              <w:t>[5]</w:t>
            </w:r>
            <w:r w:rsidRPr="006C1D21">
              <w:rPr>
                <w:rFonts w:asciiTheme="majorBidi" w:hAnsiTheme="majorBidi" w:cstheme="majorBidi"/>
              </w:rPr>
              <w:fldChar w:fldCharType="end"/>
            </w:r>
            <w:r w:rsidR="0079728D" w:rsidRPr="006C1D21">
              <w:rPr>
                <w:rFonts w:asciiTheme="majorBidi" w:hAnsiTheme="majorBidi" w:cstheme="majorBidi"/>
                <w:lang w:bidi="ar-IQ"/>
              </w:rPr>
              <w:t xml:space="preserve"> </w:t>
            </w:r>
            <w:r w:rsidRPr="006C1D21">
              <w:rPr>
                <w:rFonts w:asciiTheme="majorBidi" w:hAnsiTheme="majorBidi" w:cstheme="majorBidi"/>
                <w:lang w:bidi="ar-IQ"/>
              </w:rPr>
              <w:fldChar w:fldCharType="begin" w:fldLock="1"/>
            </w:r>
            <w:r w:rsidR="0079728D" w:rsidRPr="006C1D21">
              <w:rPr>
                <w:rFonts w:asciiTheme="majorBidi" w:hAnsiTheme="majorBidi" w:cstheme="majorBidi"/>
                <w:lang w:bidi="ar-IQ"/>
              </w:rPr>
              <w:instrText>ADDIN CSL_CITATION {"citationItems":[{"id":"ITEM-1","itemData":{"DOI":"10.1016/j.radmeas.2004.10.008","ISSN":"13504487","abstract":"Indoor radon studies have been carried out in some dwellings of Bathinda district, Punjab, India using LR-115 type II plastic track detectors in the bare mode. The study has been undertaken for the purpose of health risk assessments. The annual average indoor radon activity in dwellings varies from 95±24 to 202±90Bqm-3. In about 15% of the dwellings the indoor radon values lie in the range of the action level (200-600Bqm-3) recommended by the International Corporation on Radiological Protection (Ann. ICRP 23 (2) (1993)). The annual effective dose varies from 1.63 to 3.45mSvy-1 with the geometric mean value of 2.57mSvy-1. The seasonal variations of indoor radon reveal the maximum values in winter and minimum in summer. The radium content, radon exhalation rate and the concentration of soil radon are measured using the Can Technique. The fission track etch technique is used for the estimation of uranium in soil. The uranium and radium concentration in soil varies from 0.54 to 3.68mgkg-1 and 5.70 to 25.45Bqkg-1, respectively. The radon exhalation rate in these samples varies from 246.63 to 1100.00mBqm-2h-1 (7.17 to 31.98mBqkg-1h-1). A positive correlation has been observed between uranium concentration and radon exhalation rate in soil. © 2004 Elsevier Ltd. All rights reserved.","author":[{"dropping-particle":"","family":"Singh","given":"Surinder","non-dropping-particle":"","parse-names":false,"suffix":""},{"dropping-particle":"","family":"Kumar","given":"Mukesh","non-dropping-particle":"","parse-names":false,"suffix":""},{"dropping-particle":"","family":"Mahajan","given":"Rakesh Kumar","non-dropping-particle":"","parse-names":false,"suffix":""}],"container-title":"Radiation Measurements","id":"ITEM-1","issue":"5","issued":{"date-parts":[["2005"]]},"page":"535-542","title":"The Study of Indoor Radon in Dwellings of Bathinda District, Punjab, India and its Correlation with Uranium and Radon Exhalation Rate in Soil","type":"article-journal","volume":"39"},"uris":["http://www.mendeley.com/documents/?uuid=6ebae5d8-a588-4565-a81b-39c0ab13fe2c"]}],"mendeley":{"formattedCitation":"[14]","plainTextFormattedCitation":"[14]","previouslyFormattedCitation":"[19]"},"properties":{"noteIndex":0},"schema":"https://github.com/citation-style-language/schema/raw/master/csl-citation.json"}</w:instrText>
            </w:r>
            <w:r w:rsidRPr="006C1D21">
              <w:rPr>
                <w:rFonts w:asciiTheme="majorBidi" w:hAnsiTheme="majorBidi" w:cstheme="majorBidi"/>
                <w:lang w:bidi="ar-IQ"/>
              </w:rPr>
              <w:fldChar w:fldCharType="separate"/>
            </w:r>
            <w:r w:rsidR="0079728D" w:rsidRPr="006C1D21">
              <w:rPr>
                <w:rFonts w:asciiTheme="majorBidi" w:hAnsiTheme="majorBidi" w:cstheme="majorBidi"/>
                <w:noProof/>
                <w:lang w:bidi="ar-IQ"/>
              </w:rPr>
              <w:t>[14]</w:t>
            </w:r>
            <w:r w:rsidRPr="006C1D21">
              <w:rPr>
                <w:rFonts w:asciiTheme="majorBidi" w:hAnsiTheme="majorBidi" w:cstheme="majorBidi"/>
                <w:lang w:bidi="ar-IQ"/>
              </w:rPr>
              <w:fldChar w:fldCharType="end"/>
            </w:r>
          </w:p>
        </w:tc>
      </w:tr>
      <w:tr w:rsidR="0079728D" w:rsidRPr="007B2BC0" w:rsidTr="00057168">
        <w:trPr>
          <w:cantSplit/>
          <w:trHeight w:val="20"/>
        </w:trPr>
        <w:tc>
          <w:tcPr>
            <w:tcW w:w="1213" w:type="pct"/>
            <w:tcBorders>
              <w:top w:val="single" w:sz="4" w:space="0" w:color="auto"/>
              <w:bottom w:val="single" w:sz="4" w:space="0" w:color="auto"/>
            </w:tcBorders>
            <w:shd w:val="clear" w:color="auto" w:fill="FFFFFF" w:themeFill="background1"/>
            <w:vAlign w:val="center"/>
          </w:tcPr>
          <w:p w:rsidR="0079728D" w:rsidRPr="006C1D21" w:rsidRDefault="0079728D" w:rsidP="00057168">
            <w:pPr>
              <w:spacing w:line="288" w:lineRule="auto"/>
              <w:rPr>
                <w:rFonts w:asciiTheme="majorBidi" w:hAnsiTheme="majorBidi" w:cstheme="majorBidi"/>
              </w:rPr>
            </w:pPr>
            <w:r w:rsidRPr="006C1D21">
              <w:rPr>
                <w:rFonts w:asciiTheme="majorBidi" w:hAnsiTheme="majorBidi" w:cstheme="majorBidi"/>
                <w:color w:val="0A0A0A"/>
              </w:rPr>
              <w:t>Turkey</w:t>
            </w:r>
          </w:p>
        </w:tc>
        <w:tc>
          <w:tcPr>
            <w:tcW w:w="989" w:type="pct"/>
            <w:tcBorders>
              <w:top w:val="single" w:sz="4" w:space="0" w:color="auto"/>
              <w:bottom w:val="single" w:sz="4" w:space="0" w:color="auto"/>
            </w:tcBorders>
            <w:shd w:val="clear" w:color="auto" w:fill="FFFFFF" w:themeFill="background1"/>
          </w:tcPr>
          <w:p w:rsidR="0079728D" w:rsidRPr="006C1D21" w:rsidRDefault="0079728D" w:rsidP="00057168">
            <w:pPr>
              <w:spacing w:line="288" w:lineRule="auto"/>
              <w:rPr>
                <w:rFonts w:asciiTheme="majorBidi" w:hAnsiTheme="majorBidi" w:cstheme="majorBidi"/>
                <w:lang w:bidi="ar-IQ"/>
              </w:rPr>
            </w:pPr>
          </w:p>
        </w:tc>
        <w:tc>
          <w:tcPr>
            <w:tcW w:w="1152" w:type="pct"/>
            <w:tcBorders>
              <w:top w:val="single" w:sz="4" w:space="0" w:color="auto"/>
              <w:bottom w:val="single" w:sz="4" w:space="0" w:color="auto"/>
            </w:tcBorders>
            <w:shd w:val="clear" w:color="auto" w:fill="FFFFFF" w:themeFill="background1"/>
          </w:tcPr>
          <w:p w:rsidR="0079728D" w:rsidRPr="006C1D21" w:rsidRDefault="0079728D" w:rsidP="00057168">
            <w:pPr>
              <w:spacing w:line="288" w:lineRule="auto"/>
              <w:rPr>
                <w:rFonts w:asciiTheme="majorBidi" w:hAnsiTheme="majorBidi" w:cstheme="majorBidi"/>
                <w:lang w:bidi="ar-IQ"/>
              </w:rPr>
            </w:pPr>
            <w:r w:rsidRPr="006C1D21">
              <w:rPr>
                <w:rFonts w:asciiTheme="majorBidi" w:hAnsiTheme="majorBidi" w:cstheme="majorBidi"/>
                <w:lang w:bidi="ar-IQ"/>
              </w:rPr>
              <w:t>1476</w:t>
            </w:r>
          </w:p>
        </w:tc>
        <w:tc>
          <w:tcPr>
            <w:tcW w:w="988" w:type="pct"/>
            <w:tcBorders>
              <w:top w:val="single" w:sz="4" w:space="0" w:color="auto"/>
              <w:bottom w:val="single" w:sz="4" w:space="0" w:color="auto"/>
            </w:tcBorders>
            <w:shd w:val="clear" w:color="auto" w:fill="FFFFFF" w:themeFill="background1"/>
          </w:tcPr>
          <w:p w:rsidR="0079728D" w:rsidRPr="006C1D21" w:rsidRDefault="0079728D" w:rsidP="00057168">
            <w:pPr>
              <w:spacing w:line="288" w:lineRule="auto"/>
              <w:rPr>
                <w:rFonts w:asciiTheme="majorBidi" w:hAnsiTheme="majorBidi" w:cstheme="majorBidi"/>
                <w:lang w:bidi="ar-IQ"/>
              </w:rPr>
            </w:pPr>
            <w:r w:rsidRPr="006C1D21">
              <w:rPr>
                <w:rFonts w:asciiTheme="majorBidi" w:hAnsiTheme="majorBidi" w:cstheme="majorBidi"/>
                <w:lang w:bidi="ar-IQ"/>
              </w:rPr>
              <w:t>-</w:t>
            </w:r>
          </w:p>
        </w:tc>
        <w:tc>
          <w:tcPr>
            <w:tcW w:w="658" w:type="pct"/>
            <w:tcBorders>
              <w:top w:val="single" w:sz="4" w:space="0" w:color="auto"/>
              <w:bottom w:val="single" w:sz="4" w:space="0" w:color="auto"/>
            </w:tcBorders>
            <w:shd w:val="clear" w:color="auto" w:fill="FFFFFF" w:themeFill="background1"/>
            <w:vAlign w:val="center"/>
          </w:tcPr>
          <w:p w:rsidR="0079728D" w:rsidRPr="006C1D21" w:rsidRDefault="00D43566" w:rsidP="00057168">
            <w:pPr>
              <w:spacing w:line="288" w:lineRule="auto"/>
              <w:rPr>
                <w:rFonts w:asciiTheme="majorBidi" w:hAnsiTheme="majorBidi" w:cstheme="majorBidi"/>
                <w:lang w:bidi="ar-IQ"/>
              </w:rPr>
            </w:pPr>
            <w:r w:rsidRPr="006C1D21">
              <w:rPr>
                <w:rFonts w:asciiTheme="majorBidi" w:hAnsiTheme="majorBidi" w:cstheme="majorBidi"/>
                <w:lang w:bidi="ar-IQ"/>
              </w:rPr>
              <w:fldChar w:fldCharType="begin" w:fldLock="1"/>
            </w:r>
            <w:r w:rsidR="0079728D" w:rsidRPr="006C1D21">
              <w:rPr>
                <w:rFonts w:asciiTheme="majorBidi" w:hAnsiTheme="majorBidi" w:cstheme="majorBidi"/>
                <w:lang w:bidi="ar-IQ"/>
              </w:rPr>
              <w:instrText>ADDIN CSL_CITATION {"citationItems":[{"id":"ITEM-1","itemData":{"DOI":"10.1016/j.radmeas.2004.04.011","ISBN":"9042422300","ISSN":"13504487","abstract":"Using the closed-can technique, radon exhalation rate, radon concentration and effective radium content have been carried out for soil samples collected from triple-junction of the North Anatolian Fault System and East Anatolian Fault System. The measured maximum values of the exhalation rate and radon concentration in the system were 400.7 (mBq m-2 h-1) and 8.10 Bq kg-1, respectively. However, effective radium concentration in soil samples has been found to vary from 0.02 to 0.80 Bq kg-1. Linear correlation was observed between soil-gas radon concentration, effective radium content and radon exhalation rate. The linear correlation coefficient between radium content and radon concentration was found to be 0.91. Nevertheless, it was found that there is a linear correlation (R2 = 0.99) between the radon concentration and exhalation rate. © 2004 Elsevier Ltd. All rights reserved.","author":[{"dropping-particle":"","family":"Baykara","given":"Oktay","non-dropping-particle":"","parse-names":false,"suffix":""},{"dropping-particle":"","family":"Doǧru","given":"Mahmut","non-dropping-particle":"","parse-names":false,"suffix":""},{"dropping-particle":"","family":"Inceöz","given":"Murat","non-dropping-particle":"","parse-names":false,"suffix":""},{"dropping-particle":"","family":"Aksoy","given":"Ercan","non-dropping-particle":"","parse-names":false,"suffix":""}],"container-title":"Radiation Measurements","id":"ITEM-1","issue":"2","issued":{"date-parts":[["2005"]]},"page":"209-212","title":"Measurements of Radon Emanation from Soil Samples in Triple-Junction of North and East Anatolian Active Faults Systems in Turkey","type":"article-journal","volume":"39"},"uris":["http://www.mendeley.com/documents/?uuid=a9e3d4b6-0491-4af2-9fea-f4726f5945f1"]}],"mendeley":{"formattedCitation":"[15]","plainTextFormattedCitation":"[15]","previouslyFormattedCitation":"[17]"},"properties":{"noteIndex":0},"schema":"https://github.com/citation-style-language/schema/raw/master/csl-citation.json"}</w:instrText>
            </w:r>
            <w:r w:rsidRPr="006C1D21">
              <w:rPr>
                <w:rFonts w:asciiTheme="majorBidi" w:hAnsiTheme="majorBidi" w:cstheme="majorBidi"/>
                <w:lang w:bidi="ar-IQ"/>
              </w:rPr>
              <w:fldChar w:fldCharType="separate"/>
            </w:r>
            <w:r w:rsidR="0079728D" w:rsidRPr="006C1D21">
              <w:rPr>
                <w:rFonts w:asciiTheme="majorBidi" w:hAnsiTheme="majorBidi" w:cstheme="majorBidi"/>
                <w:noProof/>
                <w:lang w:bidi="ar-IQ"/>
              </w:rPr>
              <w:t>[15]</w:t>
            </w:r>
            <w:r w:rsidRPr="006C1D21">
              <w:rPr>
                <w:rFonts w:asciiTheme="majorBidi" w:hAnsiTheme="majorBidi" w:cstheme="majorBidi"/>
                <w:lang w:bidi="ar-IQ"/>
              </w:rPr>
              <w:fldChar w:fldCharType="end"/>
            </w:r>
          </w:p>
        </w:tc>
      </w:tr>
      <w:tr w:rsidR="0079728D" w:rsidRPr="007B2BC0" w:rsidTr="00057168">
        <w:trPr>
          <w:cantSplit/>
          <w:trHeight w:val="20"/>
        </w:trPr>
        <w:tc>
          <w:tcPr>
            <w:tcW w:w="1213" w:type="pct"/>
            <w:tcBorders>
              <w:top w:val="single" w:sz="4" w:space="0" w:color="auto"/>
              <w:bottom w:val="single" w:sz="4" w:space="0" w:color="auto"/>
            </w:tcBorders>
            <w:shd w:val="clear" w:color="auto" w:fill="FFFFFF" w:themeFill="background1"/>
          </w:tcPr>
          <w:p w:rsidR="0079728D" w:rsidRPr="006C1D21" w:rsidRDefault="0079728D" w:rsidP="00057168">
            <w:pPr>
              <w:spacing w:line="288" w:lineRule="auto"/>
              <w:rPr>
                <w:rFonts w:asciiTheme="majorBidi" w:hAnsiTheme="majorBidi" w:cstheme="majorBidi"/>
                <w:color w:val="000000"/>
              </w:rPr>
            </w:pPr>
            <w:r w:rsidRPr="006C1D21">
              <w:rPr>
                <w:rFonts w:asciiTheme="majorBidi" w:hAnsiTheme="majorBidi" w:cstheme="majorBidi"/>
                <w:color w:val="000000"/>
              </w:rPr>
              <w:t>Erbil, Iraq</w:t>
            </w:r>
          </w:p>
        </w:tc>
        <w:tc>
          <w:tcPr>
            <w:tcW w:w="989" w:type="pct"/>
            <w:tcBorders>
              <w:top w:val="single" w:sz="4" w:space="0" w:color="auto"/>
              <w:bottom w:val="single" w:sz="4" w:space="0" w:color="auto"/>
            </w:tcBorders>
            <w:shd w:val="clear" w:color="auto" w:fill="FFFFFF" w:themeFill="background1"/>
          </w:tcPr>
          <w:p w:rsidR="0079728D" w:rsidRPr="006C1D21" w:rsidRDefault="0079728D" w:rsidP="00057168">
            <w:pPr>
              <w:spacing w:line="288" w:lineRule="auto"/>
              <w:rPr>
                <w:rFonts w:asciiTheme="majorBidi" w:hAnsiTheme="majorBidi" w:cstheme="majorBidi"/>
                <w:lang w:bidi="ar-IQ"/>
              </w:rPr>
            </w:pPr>
            <w:r w:rsidRPr="006C1D21">
              <w:rPr>
                <w:rFonts w:asciiTheme="majorBidi" w:hAnsiTheme="majorBidi" w:cstheme="majorBidi"/>
                <w:lang w:bidi="ar-IQ"/>
              </w:rPr>
              <w:t xml:space="preserve">361.77 ± 3.79 </w:t>
            </w:r>
          </w:p>
        </w:tc>
        <w:tc>
          <w:tcPr>
            <w:tcW w:w="1152" w:type="pct"/>
            <w:tcBorders>
              <w:top w:val="single" w:sz="4" w:space="0" w:color="auto"/>
              <w:bottom w:val="single" w:sz="4" w:space="0" w:color="auto"/>
            </w:tcBorders>
            <w:shd w:val="clear" w:color="auto" w:fill="FFFFFF" w:themeFill="background1"/>
          </w:tcPr>
          <w:p w:rsidR="0079728D" w:rsidRPr="006C1D21" w:rsidRDefault="0079728D" w:rsidP="00057168">
            <w:pPr>
              <w:autoSpaceDE w:val="0"/>
              <w:autoSpaceDN w:val="0"/>
              <w:adjustRightInd w:val="0"/>
              <w:spacing w:line="288" w:lineRule="auto"/>
              <w:rPr>
                <w:rFonts w:asciiTheme="majorBidi" w:hAnsiTheme="majorBidi" w:cstheme="majorBidi"/>
              </w:rPr>
            </w:pPr>
            <w:r w:rsidRPr="006C1D21">
              <w:rPr>
                <w:rFonts w:asciiTheme="majorBidi" w:hAnsiTheme="majorBidi" w:cstheme="majorBidi"/>
              </w:rPr>
              <w:t>67.962- 515.167</w:t>
            </w:r>
          </w:p>
        </w:tc>
        <w:tc>
          <w:tcPr>
            <w:tcW w:w="988" w:type="pct"/>
            <w:tcBorders>
              <w:top w:val="single" w:sz="4" w:space="0" w:color="auto"/>
              <w:bottom w:val="single" w:sz="4" w:space="0" w:color="auto"/>
            </w:tcBorders>
            <w:shd w:val="clear" w:color="auto" w:fill="FFFFFF" w:themeFill="background1"/>
          </w:tcPr>
          <w:p w:rsidR="0079728D" w:rsidRPr="006C1D21" w:rsidRDefault="0079728D" w:rsidP="00057168">
            <w:pPr>
              <w:autoSpaceDE w:val="0"/>
              <w:autoSpaceDN w:val="0"/>
              <w:adjustRightInd w:val="0"/>
              <w:spacing w:line="288" w:lineRule="auto"/>
              <w:rPr>
                <w:rFonts w:asciiTheme="majorBidi" w:hAnsiTheme="majorBidi" w:cstheme="majorBidi"/>
              </w:rPr>
            </w:pPr>
            <w:r w:rsidRPr="006C1D21">
              <w:rPr>
                <w:rFonts w:asciiTheme="majorBidi" w:hAnsiTheme="majorBidi" w:cstheme="majorBidi"/>
              </w:rPr>
              <w:t>1.882- 12.630</w:t>
            </w:r>
          </w:p>
        </w:tc>
        <w:tc>
          <w:tcPr>
            <w:tcW w:w="658" w:type="pct"/>
            <w:tcBorders>
              <w:top w:val="single" w:sz="4" w:space="0" w:color="auto"/>
              <w:bottom w:val="single" w:sz="4" w:space="0" w:color="auto"/>
            </w:tcBorders>
            <w:shd w:val="clear" w:color="auto" w:fill="FFFFFF" w:themeFill="background1"/>
          </w:tcPr>
          <w:p w:rsidR="0079728D" w:rsidRPr="006C1D21" w:rsidRDefault="00D43566" w:rsidP="00057168">
            <w:pPr>
              <w:spacing w:line="288" w:lineRule="auto"/>
              <w:rPr>
                <w:rFonts w:asciiTheme="majorBidi" w:hAnsiTheme="majorBidi" w:cstheme="majorBidi"/>
                <w:lang w:bidi="ar-IQ"/>
              </w:rPr>
            </w:pPr>
            <w:r w:rsidRPr="006C1D21">
              <w:rPr>
                <w:rFonts w:asciiTheme="majorBidi" w:hAnsiTheme="majorBidi" w:cstheme="majorBidi"/>
                <w:lang w:bidi="ar-IQ"/>
              </w:rPr>
              <w:fldChar w:fldCharType="begin" w:fldLock="1"/>
            </w:r>
            <w:r w:rsidR="0079728D" w:rsidRPr="006C1D21">
              <w:rPr>
                <w:rFonts w:asciiTheme="majorBidi" w:hAnsiTheme="majorBidi" w:cstheme="majorBidi"/>
                <w:lang w:bidi="ar-IQ"/>
              </w:rPr>
              <w:instrText>ADDIN CSL_CITATION {"citationItems":[{"id":"ITEM-1","itemData":{"author":[{"dropping-particle":"","family":"Aziz","given":"Hiwa Hamad","non-dropping-particle":"","parse-names":false,"suffix":""}],"id":"ITEM-1","issued":{"date-parts":[["2010"]]},"title":"A Study of Radon and Thoron Gases Release from Iraqi-Kurdistan Building Materials Using Passive and Active Methods","type":"article-journal","volume":"2010"},"uris":["http://www.mendeley.com/documents/?uuid=192a0315-33e1-4247-b97b-2602078be304"]}],"mendeley":{"formattedCitation":"[16]","plainTextFormattedCitation":"[16]","previouslyFormattedCitation":"[21]"},"properties":{"noteIndex":0},"schema":"https://github.com/citation-style-language/schema/raw/master/csl-citation.json"}</w:instrText>
            </w:r>
            <w:r w:rsidRPr="006C1D21">
              <w:rPr>
                <w:rFonts w:asciiTheme="majorBidi" w:hAnsiTheme="majorBidi" w:cstheme="majorBidi"/>
                <w:lang w:bidi="ar-IQ"/>
              </w:rPr>
              <w:fldChar w:fldCharType="separate"/>
            </w:r>
            <w:r w:rsidR="0079728D" w:rsidRPr="006C1D21">
              <w:rPr>
                <w:rFonts w:asciiTheme="majorBidi" w:hAnsiTheme="majorBidi" w:cstheme="majorBidi"/>
                <w:noProof/>
                <w:lang w:bidi="ar-IQ"/>
              </w:rPr>
              <w:t>[16]</w:t>
            </w:r>
            <w:r w:rsidRPr="006C1D21">
              <w:rPr>
                <w:rFonts w:asciiTheme="majorBidi" w:hAnsiTheme="majorBidi" w:cstheme="majorBidi"/>
                <w:lang w:bidi="ar-IQ"/>
              </w:rPr>
              <w:fldChar w:fldCharType="end"/>
            </w:r>
          </w:p>
        </w:tc>
      </w:tr>
      <w:tr w:rsidR="0079728D" w:rsidRPr="007B2BC0" w:rsidTr="00057168">
        <w:trPr>
          <w:cantSplit/>
          <w:trHeight w:val="20"/>
        </w:trPr>
        <w:tc>
          <w:tcPr>
            <w:tcW w:w="1213" w:type="pct"/>
            <w:tcBorders>
              <w:top w:val="single" w:sz="4" w:space="0" w:color="auto"/>
              <w:bottom w:val="single" w:sz="4" w:space="0" w:color="auto"/>
            </w:tcBorders>
            <w:shd w:val="clear" w:color="auto" w:fill="FFFFFF" w:themeFill="background1"/>
          </w:tcPr>
          <w:p w:rsidR="0079728D" w:rsidRPr="006C1D21" w:rsidRDefault="0079728D" w:rsidP="00057168">
            <w:pPr>
              <w:spacing w:line="288" w:lineRule="auto"/>
              <w:rPr>
                <w:rFonts w:asciiTheme="majorBidi" w:hAnsiTheme="majorBidi" w:cstheme="majorBidi"/>
                <w:color w:val="000000"/>
              </w:rPr>
            </w:pPr>
            <w:r w:rsidRPr="006C1D21">
              <w:rPr>
                <w:rFonts w:asciiTheme="majorBidi" w:hAnsiTheme="majorBidi" w:cstheme="majorBidi"/>
                <w:color w:val="000000"/>
              </w:rPr>
              <w:t xml:space="preserve">Iraq, Kurdistan </w:t>
            </w:r>
          </w:p>
        </w:tc>
        <w:tc>
          <w:tcPr>
            <w:tcW w:w="989" w:type="pct"/>
            <w:tcBorders>
              <w:top w:val="single" w:sz="4" w:space="0" w:color="auto"/>
              <w:bottom w:val="single" w:sz="4" w:space="0" w:color="auto"/>
            </w:tcBorders>
            <w:shd w:val="clear" w:color="auto" w:fill="FFFFFF" w:themeFill="background1"/>
          </w:tcPr>
          <w:p w:rsidR="0079728D" w:rsidRPr="006C1D21" w:rsidRDefault="0079728D" w:rsidP="00057168">
            <w:pPr>
              <w:autoSpaceDE w:val="0"/>
              <w:autoSpaceDN w:val="0"/>
              <w:adjustRightInd w:val="0"/>
              <w:spacing w:line="288" w:lineRule="auto"/>
              <w:rPr>
                <w:rFonts w:asciiTheme="majorBidi" w:hAnsiTheme="majorBidi" w:cstheme="majorBidi"/>
              </w:rPr>
            </w:pPr>
            <w:r w:rsidRPr="006C1D21">
              <w:rPr>
                <w:rFonts w:asciiTheme="majorBidi" w:hAnsiTheme="majorBidi" w:cstheme="majorBidi"/>
              </w:rPr>
              <w:t>15.638±7.38</w:t>
            </w:r>
          </w:p>
        </w:tc>
        <w:tc>
          <w:tcPr>
            <w:tcW w:w="1152" w:type="pct"/>
            <w:tcBorders>
              <w:top w:val="single" w:sz="4" w:space="0" w:color="auto"/>
              <w:bottom w:val="single" w:sz="4" w:space="0" w:color="auto"/>
            </w:tcBorders>
            <w:shd w:val="clear" w:color="auto" w:fill="FFFFFF" w:themeFill="background1"/>
          </w:tcPr>
          <w:p w:rsidR="0079728D" w:rsidRPr="006C1D21" w:rsidRDefault="0079728D" w:rsidP="00057168">
            <w:pPr>
              <w:autoSpaceDE w:val="0"/>
              <w:autoSpaceDN w:val="0"/>
              <w:adjustRightInd w:val="0"/>
              <w:spacing w:line="288" w:lineRule="auto"/>
              <w:rPr>
                <w:rFonts w:asciiTheme="majorBidi" w:hAnsiTheme="majorBidi" w:cstheme="majorBidi"/>
              </w:rPr>
            </w:pPr>
            <w:r w:rsidRPr="006C1D21">
              <w:rPr>
                <w:rFonts w:asciiTheme="majorBidi" w:hAnsiTheme="majorBidi" w:cstheme="majorBidi"/>
              </w:rPr>
              <w:t>5670-14020</w:t>
            </w:r>
          </w:p>
        </w:tc>
        <w:tc>
          <w:tcPr>
            <w:tcW w:w="988" w:type="pct"/>
            <w:tcBorders>
              <w:top w:val="single" w:sz="4" w:space="0" w:color="auto"/>
              <w:bottom w:val="single" w:sz="4" w:space="0" w:color="auto"/>
            </w:tcBorders>
            <w:shd w:val="clear" w:color="auto" w:fill="FFFFFF" w:themeFill="background1"/>
          </w:tcPr>
          <w:p w:rsidR="0079728D" w:rsidRPr="006C1D21" w:rsidRDefault="0079728D" w:rsidP="00057168">
            <w:pPr>
              <w:autoSpaceDE w:val="0"/>
              <w:autoSpaceDN w:val="0"/>
              <w:adjustRightInd w:val="0"/>
              <w:spacing w:line="288" w:lineRule="auto"/>
              <w:rPr>
                <w:rFonts w:asciiTheme="majorBidi" w:hAnsiTheme="majorBidi" w:cstheme="majorBidi"/>
              </w:rPr>
            </w:pPr>
            <w:r w:rsidRPr="006C1D21">
              <w:rPr>
                <w:rFonts w:asciiTheme="majorBidi" w:hAnsiTheme="majorBidi" w:cstheme="majorBidi"/>
              </w:rPr>
              <w:t>536.09-1324.12</w:t>
            </w:r>
          </w:p>
        </w:tc>
        <w:tc>
          <w:tcPr>
            <w:tcW w:w="658" w:type="pct"/>
            <w:tcBorders>
              <w:top w:val="single" w:sz="4" w:space="0" w:color="auto"/>
              <w:bottom w:val="single" w:sz="4" w:space="0" w:color="auto"/>
            </w:tcBorders>
            <w:shd w:val="clear" w:color="auto" w:fill="FFFFFF" w:themeFill="background1"/>
          </w:tcPr>
          <w:p w:rsidR="0079728D" w:rsidRPr="006C1D21" w:rsidRDefault="00D43566" w:rsidP="00057168">
            <w:pPr>
              <w:spacing w:line="288" w:lineRule="auto"/>
              <w:rPr>
                <w:rFonts w:asciiTheme="majorBidi" w:hAnsiTheme="majorBidi" w:cstheme="majorBidi"/>
                <w:lang w:bidi="ar-IQ"/>
              </w:rPr>
            </w:pPr>
            <w:r w:rsidRPr="006C1D21">
              <w:rPr>
                <w:rFonts w:asciiTheme="majorBidi" w:hAnsiTheme="majorBidi" w:cstheme="majorBidi"/>
                <w:lang w:bidi="ar-IQ"/>
              </w:rPr>
              <w:fldChar w:fldCharType="begin" w:fldLock="1"/>
            </w:r>
            <w:r w:rsidR="0079728D" w:rsidRPr="006C1D21">
              <w:rPr>
                <w:rFonts w:asciiTheme="majorBidi" w:hAnsiTheme="majorBidi" w:cstheme="majorBidi"/>
                <w:lang w:bidi="ar-IQ"/>
              </w:rPr>
              <w:instrText>ADDIN CSL_CITATION {"citationItems":[{"id":"ITEM-1","itemData":{"ISSN":"2010376X","abstract":"This study aims to assess the environmental hazards from radon exhalation rate in the soil samples in selected locations in Iraqi Kurdistan, using passive (CR-39NTDs) and active (RAD7) detecting method. Radon concentration, effective radium content and radon exhalation rate were estimated in soil samples that collected at the depth level of 30 cm inside 124 houses. The results show that the emanation rate for radon gas was variation from location to other, depending on the geological formation. Most health risks come from emanation of radon and its daughter due to its contribution for indoor radon, so the results showed that there is a linear relationship between the ratio of soil and indoor radon concentration (C Soil  Rn222/ C indoor  Rn222) and the effective radium content in soil samples. The results show that radon concentration has high and low values in Hajyawa city and Er. Tyrawa Qr, respectively. A comparison between our results with that mentioned in international reports was done.","author":[{"dropping-particle":"","family":"Ismail","given":"Asaad H","non-dropping-particle":"","parse-names":false,"suffix":""},{"dropping-particle":"","family":"Jaafar","given":"Mohamad S","non-dropping-particle":"","parse-names":false,"suffix":""},{"dropping-particle":"","family":"Collection","given":"A Samples","non-dropping-particle":"","parse-names":false,"suffix":""}],"id":"ITEM-1","issue":"June 2009","issued":{"date-parts":[["2010"]]},"page":"638-641","title":"Hazards Assessment of Radon Exhalation Rate and Radium Content in the Soil Samples in Iraqi Kurdistan Using Passive and Active Detecting Methods","type":"article-journal","volume":"4"},"uris":["http://www.mendeley.com/documents/?uuid=fdd5e9c8-0d28-4e13-91d7-0d12bb49d2a2"]}],"mendeley":{"formattedCitation":"[17]","plainTextFormattedCitation":"[17]","previouslyFormattedCitation":"[22]"},"properties":{"noteIndex":0},"schema":"https://github.com/citation-style-language/schema/raw/master/csl-citation.json"}</w:instrText>
            </w:r>
            <w:r w:rsidRPr="006C1D21">
              <w:rPr>
                <w:rFonts w:asciiTheme="majorBidi" w:hAnsiTheme="majorBidi" w:cstheme="majorBidi"/>
                <w:lang w:bidi="ar-IQ"/>
              </w:rPr>
              <w:fldChar w:fldCharType="separate"/>
            </w:r>
            <w:r w:rsidR="0079728D" w:rsidRPr="006C1D21">
              <w:rPr>
                <w:rFonts w:asciiTheme="majorBidi" w:hAnsiTheme="majorBidi" w:cstheme="majorBidi"/>
                <w:noProof/>
                <w:lang w:bidi="ar-IQ"/>
              </w:rPr>
              <w:t>[17]</w:t>
            </w:r>
            <w:r w:rsidRPr="006C1D21">
              <w:rPr>
                <w:rFonts w:asciiTheme="majorBidi" w:hAnsiTheme="majorBidi" w:cstheme="majorBidi"/>
                <w:lang w:bidi="ar-IQ"/>
              </w:rPr>
              <w:fldChar w:fldCharType="end"/>
            </w:r>
          </w:p>
        </w:tc>
      </w:tr>
      <w:tr w:rsidR="0079728D" w:rsidRPr="007B2BC0" w:rsidTr="00057168">
        <w:trPr>
          <w:cantSplit/>
          <w:trHeight w:val="20"/>
        </w:trPr>
        <w:tc>
          <w:tcPr>
            <w:tcW w:w="1213" w:type="pct"/>
            <w:tcBorders>
              <w:top w:val="single" w:sz="4" w:space="0" w:color="auto"/>
              <w:bottom w:val="single" w:sz="4" w:space="0" w:color="auto"/>
            </w:tcBorders>
            <w:shd w:val="clear" w:color="auto" w:fill="FFFFFF" w:themeFill="background1"/>
          </w:tcPr>
          <w:p w:rsidR="0079728D" w:rsidRPr="006C1D21" w:rsidRDefault="0079728D" w:rsidP="00057168">
            <w:pPr>
              <w:spacing w:line="288" w:lineRule="auto"/>
              <w:rPr>
                <w:rFonts w:asciiTheme="majorBidi" w:hAnsiTheme="majorBidi" w:cstheme="majorBidi"/>
                <w:lang w:bidi="ar-IQ"/>
              </w:rPr>
            </w:pPr>
            <w:bookmarkStart w:id="62" w:name="OLE_LINK102"/>
            <w:bookmarkStart w:id="63" w:name="OLE_LINK103"/>
            <w:r w:rsidRPr="006C1D21">
              <w:rPr>
                <w:rFonts w:asciiTheme="majorBidi" w:hAnsiTheme="majorBidi" w:cstheme="majorBidi"/>
                <w:color w:val="0A0A0A"/>
              </w:rPr>
              <w:t>Osaka, Japan</w:t>
            </w:r>
            <w:bookmarkEnd w:id="62"/>
            <w:bookmarkEnd w:id="63"/>
          </w:p>
        </w:tc>
        <w:tc>
          <w:tcPr>
            <w:tcW w:w="989" w:type="pct"/>
            <w:tcBorders>
              <w:top w:val="single" w:sz="4" w:space="0" w:color="auto"/>
              <w:bottom w:val="single" w:sz="4" w:space="0" w:color="auto"/>
            </w:tcBorders>
            <w:shd w:val="clear" w:color="auto" w:fill="FFFFFF" w:themeFill="background1"/>
          </w:tcPr>
          <w:p w:rsidR="0079728D" w:rsidRPr="006C1D21" w:rsidRDefault="0079728D" w:rsidP="00057168">
            <w:pPr>
              <w:spacing w:line="288" w:lineRule="auto"/>
              <w:rPr>
                <w:rFonts w:asciiTheme="majorBidi" w:hAnsiTheme="majorBidi" w:cstheme="majorBidi"/>
                <w:lang w:bidi="ar-IQ"/>
              </w:rPr>
            </w:pPr>
            <w:r w:rsidRPr="006C1D21">
              <w:rPr>
                <w:rFonts w:asciiTheme="majorBidi" w:hAnsiTheme="majorBidi" w:cstheme="majorBidi"/>
                <w:lang w:bidi="ar-IQ"/>
              </w:rPr>
              <w:t>-</w:t>
            </w:r>
          </w:p>
        </w:tc>
        <w:tc>
          <w:tcPr>
            <w:tcW w:w="1152" w:type="pct"/>
            <w:tcBorders>
              <w:top w:val="single" w:sz="4" w:space="0" w:color="auto"/>
              <w:bottom w:val="single" w:sz="4" w:space="0" w:color="auto"/>
            </w:tcBorders>
            <w:shd w:val="clear" w:color="auto" w:fill="FFFFFF" w:themeFill="background1"/>
            <w:vAlign w:val="center"/>
          </w:tcPr>
          <w:p w:rsidR="0079728D" w:rsidRPr="006C1D21" w:rsidRDefault="0079728D" w:rsidP="00057168">
            <w:pPr>
              <w:spacing w:line="288" w:lineRule="auto"/>
              <w:rPr>
                <w:rFonts w:asciiTheme="majorBidi" w:hAnsiTheme="majorBidi" w:cstheme="majorBidi"/>
                <w:lang w:bidi="ar-IQ"/>
              </w:rPr>
            </w:pPr>
            <w:r w:rsidRPr="006C1D21">
              <w:rPr>
                <w:rFonts w:asciiTheme="majorBidi" w:hAnsiTheme="majorBidi" w:cstheme="majorBidi"/>
                <w:lang w:bidi="ar-IQ"/>
              </w:rPr>
              <w:t>10.8</w:t>
            </w:r>
          </w:p>
        </w:tc>
        <w:tc>
          <w:tcPr>
            <w:tcW w:w="988" w:type="pct"/>
            <w:tcBorders>
              <w:top w:val="single" w:sz="4" w:space="0" w:color="auto"/>
              <w:bottom w:val="single" w:sz="4" w:space="0" w:color="auto"/>
            </w:tcBorders>
            <w:shd w:val="clear" w:color="auto" w:fill="FFFFFF" w:themeFill="background1"/>
            <w:vAlign w:val="center"/>
          </w:tcPr>
          <w:p w:rsidR="0079728D" w:rsidRPr="006C1D21" w:rsidRDefault="0079728D" w:rsidP="00057168">
            <w:pPr>
              <w:spacing w:line="288" w:lineRule="auto"/>
              <w:rPr>
                <w:rFonts w:asciiTheme="majorBidi" w:hAnsiTheme="majorBidi" w:cstheme="majorBidi"/>
                <w:lang w:bidi="ar-IQ"/>
              </w:rPr>
            </w:pPr>
            <w:r w:rsidRPr="006C1D21">
              <w:rPr>
                <w:rFonts w:asciiTheme="majorBidi" w:hAnsiTheme="majorBidi" w:cstheme="majorBidi"/>
                <w:lang w:bidi="ar-IQ"/>
              </w:rPr>
              <w:t>-</w:t>
            </w:r>
          </w:p>
        </w:tc>
        <w:tc>
          <w:tcPr>
            <w:tcW w:w="658" w:type="pct"/>
            <w:tcBorders>
              <w:top w:val="single" w:sz="4" w:space="0" w:color="auto"/>
              <w:bottom w:val="single" w:sz="4" w:space="0" w:color="auto"/>
            </w:tcBorders>
            <w:shd w:val="clear" w:color="auto" w:fill="FFFFFF" w:themeFill="background1"/>
          </w:tcPr>
          <w:p w:rsidR="0079728D" w:rsidRPr="006C1D21" w:rsidRDefault="00D43566" w:rsidP="00057168">
            <w:pPr>
              <w:spacing w:line="288" w:lineRule="auto"/>
              <w:rPr>
                <w:rFonts w:asciiTheme="majorBidi" w:hAnsiTheme="majorBidi" w:cstheme="majorBidi"/>
                <w:lang w:bidi="ar-IQ"/>
              </w:rPr>
            </w:pPr>
            <w:r w:rsidRPr="006C1D21">
              <w:rPr>
                <w:rFonts w:asciiTheme="majorBidi" w:hAnsiTheme="majorBidi" w:cstheme="majorBidi"/>
                <w:lang w:bidi="ar-IQ"/>
              </w:rPr>
              <w:fldChar w:fldCharType="begin" w:fldLock="1"/>
            </w:r>
            <w:r w:rsidR="0079728D" w:rsidRPr="006C1D21">
              <w:rPr>
                <w:rFonts w:asciiTheme="majorBidi" w:hAnsiTheme="majorBidi" w:cstheme="majorBidi"/>
                <w:lang w:bidi="ar-IQ"/>
              </w:rPr>
              <w:instrText>ADDIN CSL_CITATION {"citationItems":[{"id":"ITEM-1","itemData":{"DOI":"10.1029/jb078i011p01804","author":[{"dropping-particle":"","family":"Megumi","given":"Kazuko","non-dropping-particle":"","parse-names":false,"suffix":""},{"dropping-particle":"","family":"Mamuro","given":"Tetsuo","non-dropping-particle":"","parse-names":false,"suffix":""}],"container-title":"Journal of Geophysical Research","id":"ITEM-1","issue":"11","issued":{"date-parts":[["2008"]]},"page":"1804-1808","title":"Radon and Thoron Exhalation from the Ground","type":"article-journal","volume":"78"},"uris":["http://www.mendeley.com/documents/?uuid=cf628581-a85a-4014-992e-ad87cd7795e3"]}],"mendeley":{"formattedCitation":"[18]","plainTextFormattedCitation":"[18]","previouslyFormattedCitation":"[14]"},"properties":{"noteIndex":0},"schema":"https://github.com/citation-style-language/schema/raw/master/csl-citation.json"}</w:instrText>
            </w:r>
            <w:r w:rsidRPr="006C1D21">
              <w:rPr>
                <w:rFonts w:asciiTheme="majorBidi" w:hAnsiTheme="majorBidi" w:cstheme="majorBidi"/>
                <w:lang w:bidi="ar-IQ"/>
              </w:rPr>
              <w:fldChar w:fldCharType="separate"/>
            </w:r>
            <w:r w:rsidR="0079728D" w:rsidRPr="006C1D21">
              <w:rPr>
                <w:rFonts w:asciiTheme="majorBidi" w:hAnsiTheme="majorBidi" w:cstheme="majorBidi"/>
                <w:noProof/>
                <w:lang w:bidi="ar-IQ"/>
              </w:rPr>
              <w:t>[18]</w:t>
            </w:r>
            <w:r w:rsidRPr="006C1D21">
              <w:rPr>
                <w:rFonts w:asciiTheme="majorBidi" w:hAnsiTheme="majorBidi" w:cstheme="majorBidi"/>
                <w:lang w:bidi="ar-IQ"/>
              </w:rPr>
              <w:fldChar w:fldCharType="end"/>
            </w:r>
          </w:p>
        </w:tc>
      </w:tr>
      <w:tr w:rsidR="0079728D" w:rsidRPr="007B2BC0" w:rsidTr="00057168">
        <w:trPr>
          <w:cantSplit/>
          <w:trHeight w:val="20"/>
        </w:trPr>
        <w:tc>
          <w:tcPr>
            <w:tcW w:w="1213" w:type="pct"/>
            <w:tcBorders>
              <w:top w:val="single" w:sz="4" w:space="0" w:color="auto"/>
              <w:bottom w:val="single" w:sz="4" w:space="0" w:color="auto"/>
            </w:tcBorders>
            <w:shd w:val="clear" w:color="auto" w:fill="FFFFFF" w:themeFill="background1"/>
          </w:tcPr>
          <w:p w:rsidR="0079728D" w:rsidRPr="006C1D21" w:rsidRDefault="0079728D" w:rsidP="00057168">
            <w:pPr>
              <w:spacing w:line="288" w:lineRule="auto"/>
              <w:rPr>
                <w:rFonts w:asciiTheme="majorBidi" w:hAnsiTheme="majorBidi" w:cstheme="majorBidi"/>
                <w:lang w:bidi="ar-IQ"/>
              </w:rPr>
            </w:pPr>
            <w:r w:rsidRPr="006C1D21">
              <w:rPr>
                <w:rFonts w:asciiTheme="majorBidi" w:hAnsiTheme="majorBidi" w:cstheme="majorBidi"/>
                <w:color w:val="0A0A0A"/>
              </w:rPr>
              <w:t>Island of Hawaii</w:t>
            </w:r>
          </w:p>
        </w:tc>
        <w:tc>
          <w:tcPr>
            <w:tcW w:w="989" w:type="pct"/>
            <w:tcBorders>
              <w:top w:val="single" w:sz="4" w:space="0" w:color="auto"/>
              <w:bottom w:val="single" w:sz="4" w:space="0" w:color="auto"/>
            </w:tcBorders>
            <w:shd w:val="clear" w:color="auto" w:fill="FFFFFF" w:themeFill="background1"/>
          </w:tcPr>
          <w:p w:rsidR="0079728D" w:rsidRPr="006C1D21" w:rsidRDefault="0079728D" w:rsidP="00057168">
            <w:pPr>
              <w:spacing w:line="288" w:lineRule="auto"/>
              <w:rPr>
                <w:rFonts w:asciiTheme="majorBidi" w:hAnsiTheme="majorBidi" w:cstheme="majorBidi"/>
                <w:rtl/>
                <w:lang w:bidi="ar-IQ"/>
              </w:rPr>
            </w:pPr>
            <w:r w:rsidRPr="006C1D21">
              <w:rPr>
                <w:rFonts w:asciiTheme="majorBidi" w:hAnsiTheme="majorBidi" w:cstheme="majorBidi"/>
                <w:lang w:bidi="ar-IQ"/>
              </w:rPr>
              <w:t>-</w:t>
            </w:r>
          </w:p>
        </w:tc>
        <w:tc>
          <w:tcPr>
            <w:tcW w:w="1152" w:type="pct"/>
            <w:tcBorders>
              <w:top w:val="single" w:sz="4" w:space="0" w:color="auto"/>
              <w:bottom w:val="single" w:sz="4" w:space="0" w:color="auto"/>
            </w:tcBorders>
            <w:shd w:val="clear" w:color="auto" w:fill="FFFFFF" w:themeFill="background1"/>
          </w:tcPr>
          <w:p w:rsidR="0079728D" w:rsidRPr="006C1D21" w:rsidRDefault="0079728D" w:rsidP="00057168">
            <w:pPr>
              <w:spacing w:line="288" w:lineRule="auto"/>
              <w:rPr>
                <w:rFonts w:asciiTheme="majorBidi" w:hAnsiTheme="majorBidi" w:cstheme="majorBidi"/>
                <w:lang w:bidi="ar-IQ"/>
              </w:rPr>
            </w:pPr>
            <w:r w:rsidRPr="006C1D21">
              <w:rPr>
                <w:rFonts w:asciiTheme="majorBidi" w:hAnsiTheme="majorBidi" w:cstheme="majorBidi"/>
                <w:lang w:bidi="ar-IQ"/>
              </w:rPr>
              <w:t>9.0</w:t>
            </w:r>
            <w:bookmarkStart w:id="64" w:name="OLE_LINK129"/>
            <w:bookmarkStart w:id="65" w:name="OLE_LINK130"/>
            <w:r w:rsidRPr="006C1D21">
              <w:rPr>
                <w:rFonts w:asciiTheme="majorBidi" w:hAnsiTheme="majorBidi" w:cstheme="majorBidi"/>
                <w:lang w:bidi="ar-IQ"/>
              </w:rPr>
              <w:t>±</w:t>
            </w:r>
            <w:bookmarkEnd w:id="64"/>
            <w:bookmarkEnd w:id="65"/>
            <w:r w:rsidRPr="006C1D21">
              <w:rPr>
                <w:rFonts w:asciiTheme="majorBidi" w:hAnsiTheme="majorBidi" w:cstheme="majorBidi"/>
                <w:lang w:bidi="ar-IQ"/>
              </w:rPr>
              <w:t>226</w:t>
            </w:r>
          </w:p>
        </w:tc>
        <w:tc>
          <w:tcPr>
            <w:tcW w:w="988" w:type="pct"/>
            <w:tcBorders>
              <w:top w:val="single" w:sz="4" w:space="0" w:color="auto"/>
              <w:bottom w:val="single" w:sz="4" w:space="0" w:color="auto"/>
            </w:tcBorders>
            <w:shd w:val="clear" w:color="auto" w:fill="FFFFFF" w:themeFill="background1"/>
          </w:tcPr>
          <w:p w:rsidR="0079728D" w:rsidRPr="006C1D21" w:rsidRDefault="0079728D" w:rsidP="00057168">
            <w:pPr>
              <w:spacing w:line="288" w:lineRule="auto"/>
              <w:rPr>
                <w:rFonts w:asciiTheme="majorBidi" w:hAnsiTheme="majorBidi" w:cstheme="majorBidi"/>
                <w:lang w:bidi="ar-IQ"/>
              </w:rPr>
            </w:pPr>
            <w:r w:rsidRPr="006C1D21">
              <w:rPr>
                <w:rFonts w:asciiTheme="majorBidi" w:hAnsiTheme="majorBidi" w:cstheme="majorBidi"/>
                <w:lang w:bidi="ar-IQ"/>
              </w:rPr>
              <w:t>-</w:t>
            </w:r>
          </w:p>
        </w:tc>
        <w:tc>
          <w:tcPr>
            <w:tcW w:w="658" w:type="pct"/>
            <w:tcBorders>
              <w:top w:val="single" w:sz="4" w:space="0" w:color="auto"/>
              <w:bottom w:val="single" w:sz="4" w:space="0" w:color="auto"/>
            </w:tcBorders>
            <w:shd w:val="clear" w:color="auto" w:fill="FFFFFF" w:themeFill="background1"/>
          </w:tcPr>
          <w:p w:rsidR="0079728D" w:rsidRPr="006C1D21" w:rsidRDefault="00D43566" w:rsidP="00057168">
            <w:pPr>
              <w:spacing w:line="288" w:lineRule="auto"/>
              <w:rPr>
                <w:rFonts w:asciiTheme="majorBidi" w:hAnsiTheme="majorBidi" w:cstheme="majorBidi"/>
                <w:lang w:bidi="ar-IQ"/>
              </w:rPr>
            </w:pPr>
            <w:r w:rsidRPr="006C1D21">
              <w:rPr>
                <w:rFonts w:asciiTheme="majorBidi" w:hAnsiTheme="majorBidi" w:cstheme="majorBidi"/>
                <w:lang w:bidi="ar-IQ"/>
              </w:rPr>
              <w:fldChar w:fldCharType="begin" w:fldLock="1"/>
            </w:r>
            <w:r w:rsidR="0079728D" w:rsidRPr="006C1D21">
              <w:rPr>
                <w:rFonts w:asciiTheme="majorBidi" w:hAnsiTheme="majorBidi" w:cstheme="majorBidi"/>
                <w:lang w:bidi="ar-IQ"/>
              </w:rPr>
              <w:instrText>ADDIN CSL_CITATION {"citationItems":[{"id":"ITEM-1","itemData":{"author":[{"dropping-particle":"","family":"Wilkening","given":"Marvin H.","non-dropping-particle":"","parse-names":false,"suffix":""}],"container-title":"American Association for the Advancement of Science","id":"ITEM-1","issue":"4123","issued":{"date-parts":[["1974"]]},"page":"413-415","title":"Deep Soils are More Important than Lava Fields or Volcanoes","type":"article-journal","volume":"183"},"uris":["http://www.mendeley.com/documents/?uuid=4f0b5e55-f722-42f5-9142-ce858488a879"]}],"mendeley":{"formattedCitation":"[19]","plainTextFormattedCitation":"[19]","previouslyFormattedCitation":"[15]"},"properties":{"noteIndex":0},"schema":"https://github.com/citation-style-language/schema/raw/master/csl-citation.json"}</w:instrText>
            </w:r>
            <w:r w:rsidRPr="006C1D21">
              <w:rPr>
                <w:rFonts w:asciiTheme="majorBidi" w:hAnsiTheme="majorBidi" w:cstheme="majorBidi"/>
                <w:lang w:bidi="ar-IQ"/>
              </w:rPr>
              <w:fldChar w:fldCharType="separate"/>
            </w:r>
            <w:r w:rsidR="0079728D" w:rsidRPr="006C1D21">
              <w:rPr>
                <w:rFonts w:asciiTheme="majorBidi" w:hAnsiTheme="majorBidi" w:cstheme="majorBidi"/>
                <w:noProof/>
                <w:lang w:bidi="ar-IQ"/>
              </w:rPr>
              <w:t>[19]</w:t>
            </w:r>
            <w:r w:rsidRPr="006C1D21">
              <w:rPr>
                <w:rFonts w:asciiTheme="majorBidi" w:hAnsiTheme="majorBidi" w:cstheme="majorBidi"/>
                <w:lang w:bidi="ar-IQ"/>
              </w:rPr>
              <w:fldChar w:fldCharType="end"/>
            </w:r>
          </w:p>
        </w:tc>
      </w:tr>
      <w:tr w:rsidR="0079728D" w:rsidRPr="007B2BC0" w:rsidTr="00057168">
        <w:trPr>
          <w:cantSplit/>
          <w:trHeight w:val="20"/>
        </w:trPr>
        <w:tc>
          <w:tcPr>
            <w:tcW w:w="1213" w:type="pct"/>
            <w:tcBorders>
              <w:top w:val="single" w:sz="4" w:space="0" w:color="auto"/>
              <w:bottom w:val="single" w:sz="4" w:space="0" w:color="auto"/>
            </w:tcBorders>
            <w:shd w:val="clear" w:color="auto" w:fill="FFFFFF" w:themeFill="background1"/>
          </w:tcPr>
          <w:p w:rsidR="0079728D" w:rsidRPr="006C1D21" w:rsidRDefault="0079728D" w:rsidP="00057168">
            <w:pPr>
              <w:spacing w:line="288" w:lineRule="auto"/>
              <w:rPr>
                <w:rFonts w:asciiTheme="majorBidi" w:hAnsiTheme="majorBidi" w:cstheme="majorBidi"/>
                <w:color w:val="000000"/>
              </w:rPr>
            </w:pPr>
            <w:r w:rsidRPr="006C1D21">
              <w:rPr>
                <w:rFonts w:asciiTheme="majorBidi" w:hAnsiTheme="majorBidi" w:cstheme="majorBidi"/>
                <w:color w:val="000000"/>
              </w:rPr>
              <w:t>Japan</w:t>
            </w:r>
          </w:p>
        </w:tc>
        <w:tc>
          <w:tcPr>
            <w:tcW w:w="989" w:type="pct"/>
            <w:tcBorders>
              <w:top w:val="single" w:sz="4" w:space="0" w:color="auto"/>
              <w:bottom w:val="single" w:sz="4" w:space="0" w:color="auto"/>
            </w:tcBorders>
            <w:shd w:val="clear" w:color="auto" w:fill="FFFFFF" w:themeFill="background1"/>
          </w:tcPr>
          <w:p w:rsidR="0079728D" w:rsidRPr="006C1D21" w:rsidRDefault="0079728D" w:rsidP="00057168">
            <w:pPr>
              <w:autoSpaceDE w:val="0"/>
              <w:autoSpaceDN w:val="0"/>
              <w:adjustRightInd w:val="0"/>
              <w:spacing w:line="288" w:lineRule="auto"/>
              <w:rPr>
                <w:rFonts w:asciiTheme="majorBidi" w:hAnsiTheme="majorBidi" w:cstheme="majorBidi"/>
                <w:rtl/>
              </w:rPr>
            </w:pPr>
          </w:p>
        </w:tc>
        <w:tc>
          <w:tcPr>
            <w:tcW w:w="1152" w:type="pct"/>
            <w:tcBorders>
              <w:top w:val="single" w:sz="4" w:space="0" w:color="auto"/>
              <w:bottom w:val="single" w:sz="4" w:space="0" w:color="auto"/>
            </w:tcBorders>
            <w:shd w:val="clear" w:color="auto" w:fill="FFFFFF" w:themeFill="background1"/>
          </w:tcPr>
          <w:p w:rsidR="0079728D" w:rsidRPr="006C1D21" w:rsidRDefault="0079728D" w:rsidP="00057168">
            <w:pPr>
              <w:autoSpaceDE w:val="0"/>
              <w:autoSpaceDN w:val="0"/>
              <w:adjustRightInd w:val="0"/>
              <w:spacing w:line="288" w:lineRule="auto"/>
              <w:rPr>
                <w:rFonts w:asciiTheme="majorBidi" w:hAnsiTheme="majorBidi" w:cstheme="majorBidi"/>
              </w:rPr>
            </w:pPr>
            <w:r w:rsidRPr="006C1D21">
              <w:rPr>
                <w:rFonts w:asciiTheme="majorBidi" w:hAnsiTheme="majorBidi" w:cstheme="majorBidi"/>
              </w:rPr>
              <w:t>1260</w:t>
            </w:r>
          </w:p>
        </w:tc>
        <w:tc>
          <w:tcPr>
            <w:tcW w:w="988" w:type="pct"/>
            <w:tcBorders>
              <w:top w:val="single" w:sz="4" w:space="0" w:color="auto"/>
              <w:bottom w:val="single" w:sz="4" w:space="0" w:color="auto"/>
            </w:tcBorders>
            <w:shd w:val="clear" w:color="auto" w:fill="FFFFFF" w:themeFill="background1"/>
          </w:tcPr>
          <w:p w:rsidR="0079728D" w:rsidRPr="006C1D21" w:rsidRDefault="0079728D" w:rsidP="00057168">
            <w:pPr>
              <w:autoSpaceDE w:val="0"/>
              <w:autoSpaceDN w:val="0"/>
              <w:adjustRightInd w:val="0"/>
              <w:spacing w:line="288" w:lineRule="auto"/>
              <w:rPr>
                <w:rFonts w:asciiTheme="majorBidi" w:hAnsiTheme="majorBidi" w:cstheme="majorBidi"/>
              </w:rPr>
            </w:pPr>
            <w:r w:rsidRPr="006C1D21">
              <w:rPr>
                <w:rFonts w:asciiTheme="majorBidi" w:hAnsiTheme="majorBidi" w:cstheme="majorBidi"/>
              </w:rPr>
              <w:t>-</w:t>
            </w:r>
          </w:p>
        </w:tc>
        <w:tc>
          <w:tcPr>
            <w:tcW w:w="658" w:type="pct"/>
            <w:tcBorders>
              <w:top w:val="single" w:sz="4" w:space="0" w:color="auto"/>
              <w:bottom w:val="single" w:sz="4" w:space="0" w:color="auto"/>
            </w:tcBorders>
            <w:shd w:val="clear" w:color="auto" w:fill="FFFFFF" w:themeFill="background1"/>
          </w:tcPr>
          <w:p w:rsidR="0079728D" w:rsidRPr="006C1D21" w:rsidRDefault="00D43566" w:rsidP="00057168">
            <w:pPr>
              <w:spacing w:line="288" w:lineRule="auto"/>
              <w:rPr>
                <w:rFonts w:asciiTheme="majorBidi" w:hAnsiTheme="majorBidi" w:cstheme="majorBidi"/>
                <w:lang w:bidi="ar-IQ"/>
              </w:rPr>
            </w:pPr>
            <w:r w:rsidRPr="006C1D21">
              <w:rPr>
                <w:rFonts w:asciiTheme="majorBidi" w:hAnsiTheme="majorBidi" w:cstheme="majorBidi"/>
                <w:lang w:bidi="ar-IQ"/>
              </w:rPr>
              <w:fldChar w:fldCharType="begin" w:fldLock="1"/>
            </w:r>
            <w:r w:rsidR="0079728D" w:rsidRPr="006C1D21">
              <w:rPr>
                <w:rFonts w:asciiTheme="majorBidi" w:hAnsiTheme="majorBidi" w:cstheme="majorBidi"/>
                <w:lang w:bidi="ar-IQ"/>
              </w:rPr>
              <w:instrText>ADDIN CSL_CITATION {"citationItems":[{"id":"ITEM-1","itemData":{"DOI":"10.15669/pnst.1.404","ISSN":"2185-4823","abstract":"Common building materials used in constructing dwellings are a major source of radon and thoron gases emanation into the indoor environment. Concentrations of the radionuclides 226 Ra and 232 Th and radon/thoron exhalation rates are important parameters for characterizing radon and thoron sources in building materials and comparing the relative contribution of different materials to the total radiation dose. In the present study, concentrations of the radionuclides 226 Ra, 232 Th and 40 K in different kinds of granite used as building materials in Japan were determined by γ-ray spectroscopy, and a common hazard index, the radium equivalent index, was evaluated on the basis of those results. Exhalation rates of radon and thoron were measured by using an accumulation chamber equipped with a solid-state alpha particle detector. The influence of chamber leakage and back diffusion time decay constants on radon exhalation rate was also estimated, and the correlations between radon/thoron exhalation rates and their parent nuclide (radium/thorium) concentrations were examined.","author":[{"dropping-particle":"","family":"HASSAN","given":"Nabil M.","non-dropping-particle":"","parse-names":false,"suffix":""},{"dropping-particle":"","family":"TOKONAMI","given":"Shinji","non-dropping-particle":"","parse-names":false,"suffix":""},{"dropping-particle":"","family":"SORIMACHI","given":"Atsuyuki","non-dropping-particle":"","parse-names":false,"suffix":""},{"dropping-particle":"","family":"IWAOKA","given":"Kazuki","non-dropping-particle":"","parse-names":false,"suffix":""},{"dropping-particle":"","family":"YONEHARA","given":"Hidenori","non-dropping-particle":"","parse-names":false,"suffix":""},{"dropping-particle":"","family":"FUKUSHI","given":"Masahiro","non-dropping-particle":"","parse-names":false,"suffix":""},{"dropping-particle":"","family":"SAHOO","given":"Sarata K.","non-dropping-particle":"","parse-names":false,"suffix":""},{"dropping-particle":"","family":"KRANROD","given":"Chutima","non-dropping-particle":"","parse-names":false,"suffix":""},{"dropping-particle":"","family":"HOSODA","given":"Masahiro","non-dropping-particle":"","parse-names":false,"suffix":""},{"dropping-particle":"","family":"JANIK","given":"Miroslaw","non-dropping-particle":"","parse-names":false,"suffix":""},{"dropping-particle":"","family":"ISHIKAWA","given":"Tetsuo","non-dropping-particle":"","parse-names":false,"suffix":""}],"container-title":"Progress in Nuclear Science and Technology","id":"ITEM-1","issue":"0","issued":{"date-parts":[["2015"]]},"page":"404-407","title":"Simultaneous Measurement of Radon and Thoron Released from Building Materials used in Japan","type":"article-journal","volume":"1"},"uris":["http://www.mendeley.com/documents/?uuid=875cc638-ab5f-4145-a966-0202d51790ea"]}],"mendeley":{"formattedCitation":"[20]","plainTextFormattedCitation":"[20]","previouslyFormattedCitation":"[24]"},"properties":{"noteIndex":0},"schema":"https://github.com/citation-style-language/schema/raw/master/csl-citation.json"}</w:instrText>
            </w:r>
            <w:r w:rsidRPr="006C1D21">
              <w:rPr>
                <w:rFonts w:asciiTheme="majorBidi" w:hAnsiTheme="majorBidi" w:cstheme="majorBidi"/>
                <w:lang w:bidi="ar-IQ"/>
              </w:rPr>
              <w:fldChar w:fldCharType="separate"/>
            </w:r>
            <w:r w:rsidR="0079728D" w:rsidRPr="006C1D21">
              <w:rPr>
                <w:rFonts w:asciiTheme="majorBidi" w:hAnsiTheme="majorBidi" w:cstheme="majorBidi"/>
                <w:noProof/>
                <w:lang w:bidi="ar-IQ"/>
              </w:rPr>
              <w:t>[20]</w:t>
            </w:r>
            <w:r w:rsidRPr="006C1D21">
              <w:rPr>
                <w:rFonts w:asciiTheme="majorBidi" w:hAnsiTheme="majorBidi" w:cstheme="majorBidi"/>
                <w:lang w:bidi="ar-IQ"/>
              </w:rPr>
              <w:fldChar w:fldCharType="end"/>
            </w:r>
          </w:p>
        </w:tc>
      </w:tr>
      <w:tr w:rsidR="0079728D" w:rsidRPr="007B2BC0" w:rsidTr="00057168">
        <w:trPr>
          <w:cantSplit/>
          <w:trHeight w:val="20"/>
        </w:trPr>
        <w:tc>
          <w:tcPr>
            <w:tcW w:w="1213" w:type="pct"/>
            <w:tcBorders>
              <w:top w:val="single" w:sz="4" w:space="0" w:color="auto"/>
              <w:bottom w:val="single" w:sz="4" w:space="0" w:color="auto"/>
            </w:tcBorders>
            <w:shd w:val="clear" w:color="auto" w:fill="FFFFFF" w:themeFill="background1"/>
          </w:tcPr>
          <w:p w:rsidR="0079728D" w:rsidRPr="006C1D21" w:rsidRDefault="0079728D" w:rsidP="00057168">
            <w:pPr>
              <w:spacing w:line="288" w:lineRule="auto"/>
              <w:rPr>
                <w:rFonts w:asciiTheme="majorBidi" w:hAnsiTheme="majorBidi" w:cstheme="majorBidi"/>
                <w:lang w:bidi="ar-IQ"/>
              </w:rPr>
            </w:pPr>
            <w:r w:rsidRPr="006C1D21">
              <w:rPr>
                <w:rFonts w:asciiTheme="majorBidi" w:hAnsiTheme="majorBidi" w:cstheme="majorBidi"/>
                <w:color w:val="0A0A0A"/>
              </w:rPr>
              <w:t>Germany</w:t>
            </w:r>
          </w:p>
        </w:tc>
        <w:tc>
          <w:tcPr>
            <w:tcW w:w="989" w:type="pct"/>
            <w:tcBorders>
              <w:top w:val="single" w:sz="4" w:space="0" w:color="auto"/>
              <w:bottom w:val="single" w:sz="4" w:space="0" w:color="auto"/>
            </w:tcBorders>
            <w:shd w:val="clear" w:color="auto" w:fill="FFFFFF" w:themeFill="background1"/>
          </w:tcPr>
          <w:p w:rsidR="0079728D" w:rsidRPr="006C1D21" w:rsidRDefault="0079728D" w:rsidP="00057168">
            <w:pPr>
              <w:spacing w:line="288" w:lineRule="auto"/>
              <w:rPr>
                <w:rFonts w:asciiTheme="majorBidi" w:hAnsiTheme="majorBidi" w:cstheme="majorBidi"/>
                <w:lang w:bidi="ar-IQ"/>
              </w:rPr>
            </w:pPr>
            <w:r w:rsidRPr="006C1D21">
              <w:rPr>
                <w:rFonts w:asciiTheme="majorBidi" w:hAnsiTheme="majorBidi" w:cstheme="majorBidi"/>
                <w:lang w:bidi="ar-IQ"/>
              </w:rPr>
              <w:t>-</w:t>
            </w:r>
          </w:p>
        </w:tc>
        <w:tc>
          <w:tcPr>
            <w:tcW w:w="1152" w:type="pct"/>
            <w:tcBorders>
              <w:top w:val="single" w:sz="4" w:space="0" w:color="auto"/>
              <w:bottom w:val="single" w:sz="4" w:space="0" w:color="auto"/>
            </w:tcBorders>
            <w:shd w:val="clear" w:color="auto" w:fill="FFFFFF" w:themeFill="background1"/>
          </w:tcPr>
          <w:p w:rsidR="0079728D" w:rsidRPr="006C1D21" w:rsidRDefault="0079728D" w:rsidP="00057168">
            <w:pPr>
              <w:spacing w:line="288" w:lineRule="auto"/>
              <w:rPr>
                <w:rFonts w:asciiTheme="majorBidi" w:hAnsiTheme="majorBidi" w:cstheme="majorBidi"/>
                <w:lang w:bidi="ar-IQ"/>
              </w:rPr>
            </w:pPr>
            <w:r w:rsidRPr="006C1D21">
              <w:rPr>
                <w:rFonts w:asciiTheme="majorBidi" w:hAnsiTheme="majorBidi" w:cstheme="majorBidi"/>
                <w:lang w:bidi="ar-IQ"/>
              </w:rPr>
              <w:t>7200-63000</w:t>
            </w:r>
          </w:p>
        </w:tc>
        <w:tc>
          <w:tcPr>
            <w:tcW w:w="988" w:type="pct"/>
            <w:tcBorders>
              <w:top w:val="single" w:sz="4" w:space="0" w:color="auto"/>
              <w:bottom w:val="single" w:sz="4" w:space="0" w:color="auto"/>
            </w:tcBorders>
            <w:shd w:val="clear" w:color="auto" w:fill="FFFFFF" w:themeFill="background1"/>
          </w:tcPr>
          <w:p w:rsidR="0079728D" w:rsidRPr="006C1D21" w:rsidRDefault="0079728D" w:rsidP="00057168">
            <w:pPr>
              <w:spacing w:line="288" w:lineRule="auto"/>
              <w:rPr>
                <w:rFonts w:asciiTheme="majorBidi" w:hAnsiTheme="majorBidi" w:cstheme="majorBidi"/>
                <w:lang w:bidi="ar-IQ"/>
              </w:rPr>
            </w:pPr>
            <w:r w:rsidRPr="006C1D21">
              <w:rPr>
                <w:rFonts w:asciiTheme="majorBidi" w:hAnsiTheme="majorBidi" w:cstheme="majorBidi"/>
                <w:lang w:bidi="ar-IQ"/>
              </w:rPr>
              <w:t>-</w:t>
            </w:r>
          </w:p>
        </w:tc>
        <w:tc>
          <w:tcPr>
            <w:tcW w:w="658" w:type="pct"/>
            <w:tcBorders>
              <w:top w:val="single" w:sz="4" w:space="0" w:color="auto"/>
              <w:bottom w:val="single" w:sz="4" w:space="0" w:color="auto"/>
            </w:tcBorders>
            <w:shd w:val="clear" w:color="auto" w:fill="FFFFFF" w:themeFill="background1"/>
          </w:tcPr>
          <w:p w:rsidR="0079728D" w:rsidRPr="006C1D21" w:rsidRDefault="00D43566" w:rsidP="00057168">
            <w:pPr>
              <w:spacing w:line="288" w:lineRule="auto"/>
              <w:rPr>
                <w:rFonts w:asciiTheme="majorBidi" w:hAnsiTheme="majorBidi" w:cstheme="majorBidi"/>
                <w:lang w:bidi="ar-IQ"/>
              </w:rPr>
            </w:pPr>
            <w:r w:rsidRPr="006C1D21">
              <w:rPr>
                <w:rFonts w:asciiTheme="majorBidi" w:hAnsiTheme="majorBidi" w:cstheme="majorBidi"/>
                <w:lang w:bidi="ar-IQ"/>
              </w:rPr>
              <w:fldChar w:fldCharType="begin" w:fldLock="1"/>
            </w:r>
            <w:r w:rsidR="0079728D" w:rsidRPr="006C1D21">
              <w:rPr>
                <w:rFonts w:asciiTheme="majorBidi" w:hAnsiTheme="majorBidi" w:cstheme="majorBidi"/>
                <w:lang w:bidi="ar-IQ"/>
              </w:rPr>
              <w:instrText>ADDIN CSL_CITATION {"citationItems":[{"id":"ITEM-1","itemData":{"author":[{"dropping-particle":"","family":"Keller, G and Schutz","given":"M","non-dropping-particle":"","parse-names":false,"suffix":""}],"container-title":"Radiation Protection Dosimetry","id":"ITEM-1","issue":"1-4","issued":{"date-parts":[["1988"]]},"page":"43--46","title":"Radon Exhalation from the Soil","type":"article-journal","volume":"24"},"uris":["http://www.mendeley.com/documents/?uuid=647b8443-7e2e-40ac-bedf-7ffbce6154b3"]}],"mendeley":{"formattedCitation":"[21]","plainTextFormattedCitation":"[21]","previouslyFormattedCitation":"[16]"},"properties":{"noteIndex":0},"schema":"https://github.com/citation-style-language/schema/raw/master/csl-citation.json"}</w:instrText>
            </w:r>
            <w:r w:rsidRPr="006C1D21">
              <w:rPr>
                <w:rFonts w:asciiTheme="majorBidi" w:hAnsiTheme="majorBidi" w:cstheme="majorBidi"/>
                <w:lang w:bidi="ar-IQ"/>
              </w:rPr>
              <w:fldChar w:fldCharType="separate"/>
            </w:r>
            <w:r w:rsidR="0079728D" w:rsidRPr="006C1D21">
              <w:rPr>
                <w:rFonts w:asciiTheme="majorBidi" w:hAnsiTheme="majorBidi" w:cstheme="majorBidi"/>
                <w:noProof/>
                <w:lang w:bidi="ar-IQ"/>
              </w:rPr>
              <w:t>[21]</w:t>
            </w:r>
            <w:r w:rsidRPr="006C1D21">
              <w:rPr>
                <w:rFonts w:asciiTheme="majorBidi" w:hAnsiTheme="majorBidi" w:cstheme="majorBidi"/>
                <w:lang w:bidi="ar-IQ"/>
              </w:rPr>
              <w:fldChar w:fldCharType="end"/>
            </w:r>
          </w:p>
        </w:tc>
      </w:tr>
      <w:tr w:rsidR="0079728D" w:rsidRPr="007B2BC0" w:rsidTr="00057168">
        <w:trPr>
          <w:cantSplit/>
          <w:trHeight w:val="20"/>
        </w:trPr>
        <w:tc>
          <w:tcPr>
            <w:tcW w:w="1213" w:type="pct"/>
            <w:tcBorders>
              <w:top w:val="single" w:sz="4" w:space="0" w:color="auto"/>
              <w:bottom w:val="single" w:sz="4" w:space="0" w:color="auto"/>
            </w:tcBorders>
            <w:shd w:val="clear" w:color="auto" w:fill="FFFFFF" w:themeFill="background1"/>
          </w:tcPr>
          <w:p w:rsidR="0079728D" w:rsidRPr="006C1D21" w:rsidRDefault="0079728D" w:rsidP="00057168">
            <w:pPr>
              <w:spacing w:line="288" w:lineRule="auto"/>
              <w:rPr>
                <w:rFonts w:asciiTheme="majorBidi" w:hAnsiTheme="majorBidi" w:cstheme="majorBidi"/>
                <w:lang w:bidi="ar-IQ"/>
              </w:rPr>
            </w:pPr>
            <w:bookmarkStart w:id="66" w:name="OLE_LINK133"/>
            <w:bookmarkStart w:id="67" w:name="OLE_LINK134"/>
            <w:r w:rsidRPr="006C1D21">
              <w:rPr>
                <w:rFonts w:asciiTheme="majorBidi" w:hAnsiTheme="majorBidi" w:cstheme="majorBidi"/>
                <w:lang w:bidi="ar-IQ"/>
              </w:rPr>
              <w:t>Catania, Italy</w:t>
            </w:r>
            <w:bookmarkEnd w:id="66"/>
            <w:bookmarkEnd w:id="67"/>
          </w:p>
        </w:tc>
        <w:tc>
          <w:tcPr>
            <w:tcW w:w="989" w:type="pct"/>
            <w:tcBorders>
              <w:top w:val="single" w:sz="4" w:space="0" w:color="auto"/>
              <w:bottom w:val="single" w:sz="4" w:space="0" w:color="auto"/>
            </w:tcBorders>
            <w:shd w:val="clear" w:color="auto" w:fill="FFFFFF" w:themeFill="background1"/>
          </w:tcPr>
          <w:p w:rsidR="0079728D" w:rsidRPr="006C1D21" w:rsidRDefault="0079728D" w:rsidP="00057168">
            <w:pPr>
              <w:spacing w:line="288" w:lineRule="auto"/>
              <w:rPr>
                <w:rFonts w:asciiTheme="majorBidi" w:hAnsiTheme="majorBidi" w:cstheme="majorBidi"/>
                <w:lang w:bidi="ar-IQ"/>
              </w:rPr>
            </w:pPr>
          </w:p>
        </w:tc>
        <w:tc>
          <w:tcPr>
            <w:tcW w:w="1152" w:type="pct"/>
            <w:tcBorders>
              <w:top w:val="single" w:sz="4" w:space="0" w:color="auto"/>
              <w:bottom w:val="single" w:sz="4" w:space="0" w:color="auto"/>
            </w:tcBorders>
            <w:shd w:val="clear" w:color="auto" w:fill="FFFFFF" w:themeFill="background1"/>
            <w:vAlign w:val="center"/>
          </w:tcPr>
          <w:p w:rsidR="0079728D" w:rsidRPr="006C1D21" w:rsidRDefault="0079728D" w:rsidP="00057168">
            <w:pPr>
              <w:spacing w:line="288" w:lineRule="auto"/>
              <w:rPr>
                <w:rFonts w:asciiTheme="majorBidi" w:hAnsiTheme="majorBidi" w:cstheme="majorBidi"/>
                <w:lang w:bidi="ar-IQ"/>
              </w:rPr>
            </w:pPr>
            <w:r w:rsidRPr="006C1D21">
              <w:rPr>
                <w:rFonts w:asciiTheme="majorBidi" w:hAnsiTheme="majorBidi" w:cstheme="majorBidi"/>
                <w:lang w:bidi="ar-IQ"/>
              </w:rPr>
              <w:t>43.1±6.7</w:t>
            </w:r>
          </w:p>
        </w:tc>
        <w:tc>
          <w:tcPr>
            <w:tcW w:w="988" w:type="pct"/>
            <w:tcBorders>
              <w:top w:val="single" w:sz="4" w:space="0" w:color="auto"/>
              <w:bottom w:val="single" w:sz="4" w:space="0" w:color="auto"/>
            </w:tcBorders>
            <w:shd w:val="clear" w:color="auto" w:fill="FFFFFF" w:themeFill="background1"/>
            <w:vAlign w:val="center"/>
          </w:tcPr>
          <w:p w:rsidR="0079728D" w:rsidRPr="006C1D21" w:rsidRDefault="0079728D" w:rsidP="00057168">
            <w:pPr>
              <w:spacing w:line="288" w:lineRule="auto"/>
              <w:rPr>
                <w:rFonts w:asciiTheme="majorBidi" w:hAnsiTheme="majorBidi" w:cstheme="majorBidi"/>
                <w:lang w:bidi="ar-IQ"/>
              </w:rPr>
            </w:pPr>
            <w:r w:rsidRPr="006C1D21">
              <w:rPr>
                <w:rFonts w:asciiTheme="majorBidi" w:hAnsiTheme="majorBidi" w:cstheme="majorBidi"/>
                <w:lang w:bidi="ar-IQ"/>
              </w:rPr>
              <w:t>-</w:t>
            </w:r>
          </w:p>
        </w:tc>
        <w:tc>
          <w:tcPr>
            <w:tcW w:w="658" w:type="pct"/>
            <w:tcBorders>
              <w:top w:val="single" w:sz="4" w:space="0" w:color="auto"/>
              <w:bottom w:val="single" w:sz="4" w:space="0" w:color="auto"/>
            </w:tcBorders>
            <w:shd w:val="clear" w:color="auto" w:fill="FFFFFF" w:themeFill="background1"/>
          </w:tcPr>
          <w:p w:rsidR="0079728D" w:rsidRPr="006C1D21" w:rsidRDefault="00D43566" w:rsidP="00057168">
            <w:pPr>
              <w:spacing w:line="288" w:lineRule="auto"/>
              <w:rPr>
                <w:rFonts w:asciiTheme="majorBidi" w:hAnsiTheme="majorBidi" w:cstheme="majorBidi"/>
                <w:lang w:bidi="ar-IQ"/>
              </w:rPr>
            </w:pPr>
            <w:r w:rsidRPr="006C1D21">
              <w:rPr>
                <w:rFonts w:asciiTheme="majorBidi" w:hAnsiTheme="majorBidi" w:cstheme="majorBidi"/>
                <w:lang w:bidi="ar-IQ"/>
              </w:rPr>
              <w:fldChar w:fldCharType="begin" w:fldLock="1"/>
            </w:r>
            <w:r w:rsidR="0079728D" w:rsidRPr="006C1D21">
              <w:rPr>
                <w:rFonts w:asciiTheme="majorBidi" w:hAnsiTheme="majorBidi" w:cstheme="majorBidi"/>
                <w:lang w:bidi="ar-IQ"/>
              </w:rPr>
              <w:instrText>ADDIN CSL_CITATION {"citationItems":[{"id":"ITEM-1","itemData":{"DOI":"10.1016/j.radphyschem.2013.02.033","ISSN":"0969806X","abstract":"Transport of radon through materials is a process strongly influenced by several parameters characterizing the materials themselves, such as porosity, permeability, grain size, content of radionuclides and diffusion coefficient of this gas through the interstitial pores and/or fractures of material. In order to enlighten more on the radon transport mechanisms, we are carrying out a systematic study on both in-soil radon measurements and laboratory analysis. Laboratory measurements are carried out on different types of samples from geologically different sites in the East Sicily (Italy), to measure the exhalation rate of radon at different controlled physical conditions, varying the parameters of porosity and grain size, content of radio, in order to characterize the dependence of the process of radon transport by these parameters.We report in particular preliminary results of our study on radionuclide content and on the radon exhalation rate from building materials used in Mt. Etna and in the Hyblean Plateau villages.This study is important from the radioprotection point of view and could represent a contribution to better define the transport process of radon through fractured media to clarify on correlation between radon concentration and geodynamical, volcanic and tectonic, events. © 2013 Elsevier Ltd.","author":[{"dropping-particle":"","family":"Immé","given":"G.","non-dropping-particle":"","parse-names":false,"suffix":""},{"dropping-particle":"","family":"Catalano","given":"R.","non-dropping-particle":"","parse-names":false,"suffix":""},{"dropping-particle":"","family":"Mangano","given":"G.","non-dropping-particle":"","parse-names":false,"suffix":""},{"dropping-particle":"","family":"Morelli","given":"D.","non-dropping-particle":"","parse-names":false,"suffix":""}],"container-title":"Radiation Physics and Chemistry","id":"ITEM-1","issued":{"date-parts":[["2014"]]},"page":"349-351","title":"Radon Exhalation Measurements for Environmental and Geophysics Study","type":"article-journal","volume":"95"},"uris":["http://www.mendeley.com/documents/?uuid=6b949241-0bc6-467f-9fa3-dc26b0edc082"]}],"mendeley":{"formattedCitation":"[22]","plainTextFormattedCitation":"[22]","previouslyFormattedCitation":"[18]"},"properties":{"noteIndex":0},"schema":"https://github.com/citation-style-language/schema/raw/master/csl-citation.json"}</w:instrText>
            </w:r>
            <w:r w:rsidRPr="006C1D21">
              <w:rPr>
                <w:rFonts w:asciiTheme="majorBidi" w:hAnsiTheme="majorBidi" w:cstheme="majorBidi"/>
                <w:lang w:bidi="ar-IQ"/>
              </w:rPr>
              <w:fldChar w:fldCharType="separate"/>
            </w:r>
            <w:r w:rsidR="0079728D" w:rsidRPr="006C1D21">
              <w:rPr>
                <w:rFonts w:asciiTheme="majorBidi" w:hAnsiTheme="majorBidi" w:cstheme="majorBidi"/>
                <w:noProof/>
                <w:lang w:bidi="ar-IQ"/>
              </w:rPr>
              <w:t>[22]</w:t>
            </w:r>
            <w:r w:rsidRPr="006C1D21">
              <w:rPr>
                <w:rFonts w:asciiTheme="majorBidi" w:hAnsiTheme="majorBidi" w:cstheme="majorBidi"/>
                <w:lang w:bidi="ar-IQ"/>
              </w:rPr>
              <w:fldChar w:fldCharType="end"/>
            </w:r>
          </w:p>
        </w:tc>
      </w:tr>
      <w:tr w:rsidR="0079728D" w:rsidRPr="007B2BC0" w:rsidTr="00057168">
        <w:trPr>
          <w:cantSplit/>
          <w:trHeight w:val="20"/>
        </w:trPr>
        <w:tc>
          <w:tcPr>
            <w:tcW w:w="1213" w:type="pct"/>
            <w:tcBorders>
              <w:top w:val="single" w:sz="4" w:space="0" w:color="auto"/>
              <w:bottom w:val="single" w:sz="4" w:space="0" w:color="auto"/>
            </w:tcBorders>
            <w:shd w:val="clear" w:color="auto" w:fill="FFFFFF" w:themeFill="background1"/>
          </w:tcPr>
          <w:p w:rsidR="0079728D" w:rsidRPr="006C1D21" w:rsidRDefault="0079728D" w:rsidP="00057168">
            <w:pPr>
              <w:spacing w:line="288" w:lineRule="auto"/>
              <w:rPr>
                <w:rFonts w:asciiTheme="majorBidi" w:hAnsiTheme="majorBidi" w:cstheme="majorBidi"/>
                <w:lang w:bidi="ar-IQ"/>
              </w:rPr>
            </w:pPr>
            <w:r w:rsidRPr="006C1D21">
              <w:rPr>
                <w:rFonts w:asciiTheme="majorBidi" w:hAnsiTheme="majorBidi" w:cstheme="majorBidi"/>
                <w:color w:val="000000"/>
              </w:rPr>
              <w:t>Baghdad, Iraq</w:t>
            </w:r>
          </w:p>
        </w:tc>
        <w:tc>
          <w:tcPr>
            <w:tcW w:w="989" w:type="pct"/>
            <w:tcBorders>
              <w:top w:val="single" w:sz="4" w:space="0" w:color="auto"/>
              <w:bottom w:val="single" w:sz="4" w:space="0" w:color="auto"/>
            </w:tcBorders>
            <w:shd w:val="clear" w:color="auto" w:fill="FFFFFF" w:themeFill="background1"/>
          </w:tcPr>
          <w:p w:rsidR="0079728D" w:rsidRPr="006C1D21" w:rsidRDefault="0079728D" w:rsidP="00057168">
            <w:pPr>
              <w:spacing w:line="288" w:lineRule="auto"/>
              <w:rPr>
                <w:rFonts w:asciiTheme="majorBidi" w:hAnsiTheme="majorBidi" w:cstheme="majorBidi"/>
                <w:lang w:bidi="ar-IQ"/>
              </w:rPr>
            </w:pPr>
            <w:r w:rsidRPr="006C1D21">
              <w:rPr>
                <w:rFonts w:asciiTheme="majorBidi" w:hAnsiTheme="majorBidi" w:cstheme="majorBidi"/>
                <w:lang w:bidi="ar-IQ"/>
              </w:rPr>
              <w:t>1337.55</w:t>
            </w:r>
          </w:p>
        </w:tc>
        <w:tc>
          <w:tcPr>
            <w:tcW w:w="1152" w:type="pct"/>
            <w:tcBorders>
              <w:top w:val="single" w:sz="4" w:space="0" w:color="auto"/>
              <w:bottom w:val="single" w:sz="4" w:space="0" w:color="auto"/>
            </w:tcBorders>
            <w:shd w:val="clear" w:color="auto" w:fill="FFFFFF" w:themeFill="background1"/>
          </w:tcPr>
          <w:p w:rsidR="0079728D" w:rsidRPr="006C1D21" w:rsidRDefault="0079728D" w:rsidP="00057168">
            <w:pPr>
              <w:spacing w:line="288" w:lineRule="auto"/>
              <w:rPr>
                <w:rFonts w:asciiTheme="majorBidi" w:hAnsiTheme="majorBidi" w:cstheme="majorBidi"/>
                <w:lang w:bidi="ar-IQ"/>
              </w:rPr>
            </w:pPr>
            <w:r w:rsidRPr="006C1D21">
              <w:rPr>
                <w:rFonts w:asciiTheme="majorBidi" w:hAnsiTheme="majorBidi" w:cstheme="majorBidi"/>
                <w:lang w:bidi="ar-IQ"/>
              </w:rPr>
              <w:t>1059.5</w:t>
            </w:r>
          </w:p>
        </w:tc>
        <w:tc>
          <w:tcPr>
            <w:tcW w:w="988" w:type="pct"/>
            <w:tcBorders>
              <w:top w:val="single" w:sz="4" w:space="0" w:color="auto"/>
              <w:bottom w:val="single" w:sz="4" w:space="0" w:color="auto"/>
            </w:tcBorders>
            <w:shd w:val="clear" w:color="auto" w:fill="FFFFFF" w:themeFill="background1"/>
          </w:tcPr>
          <w:p w:rsidR="0079728D" w:rsidRPr="006C1D21" w:rsidRDefault="0079728D" w:rsidP="00057168">
            <w:pPr>
              <w:spacing w:line="288" w:lineRule="auto"/>
              <w:rPr>
                <w:rFonts w:asciiTheme="majorBidi" w:hAnsiTheme="majorBidi" w:cstheme="majorBidi"/>
                <w:lang w:bidi="ar-IQ"/>
              </w:rPr>
            </w:pPr>
            <w:r w:rsidRPr="006C1D21">
              <w:rPr>
                <w:rFonts w:asciiTheme="majorBidi" w:hAnsiTheme="majorBidi" w:cstheme="majorBidi"/>
                <w:lang w:bidi="ar-IQ"/>
              </w:rPr>
              <w:t>61.25</w:t>
            </w:r>
          </w:p>
        </w:tc>
        <w:tc>
          <w:tcPr>
            <w:tcW w:w="658" w:type="pct"/>
            <w:tcBorders>
              <w:top w:val="single" w:sz="4" w:space="0" w:color="auto"/>
              <w:bottom w:val="single" w:sz="4" w:space="0" w:color="auto"/>
            </w:tcBorders>
            <w:shd w:val="clear" w:color="auto" w:fill="FFFFFF" w:themeFill="background1"/>
          </w:tcPr>
          <w:p w:rsidR="0079728D" w:rsidRPr="006C1D21" w:rsidRDefault="00D43566" w:rsidP="00057168">
            <w:pPr>
              <w:spacing w:line="288" w:lineRule="auto"/>
              <w:rPr>
                <w:rFonts w:asciiTheme="majorBidi" w:hAnsiTheme="majorBidi" w:cstheme="majorBidi"/>
                <w:lang w:bidi="ar-IQ"/>
              </w:rPr>
            </w:pPr>
            <w:r w:rsidRPr="006C1D21">
              <w:rPr>
                <w:rFonts w:asciiTheme="majorBidi" w:hAnsiTheme="majorBidi" w:cstheme="majorBidi"/>
                <w:lang w:bidi="ar-IQ"/>
              </w:rPr>
              <w:fldChar w:fldCharType="begin" w:fldLock="1"/>
            </w:r>
            <w:r w:rsidR="0079728D" w:rsidRPr="006C1D21">
              <w:rPr>
                <w:rFonts w:asciiTheme="majorBidi" w:hAnsiTheme="majorBidi" w:cstheme="majorBidi"/>
                <w:lang w:bidi="ar-IQ"/>
              </w:rPr>
              <w:instrText>ADDIN CSL_CITATION {"citationItems":[{"id":"ITEM-1","itemData":{"abstract":"-Radon concentration, radium content, uranium concentration and rates of radon exhalation as a function of mass and area in 10 soil and 5 water sediment samples collected from one of the oil fields in Basrah governorate southern Iraq using CR-39 SSNTD were measured. Obtained results of radon concentrations range from 434.67 Bq.m -3 to 1947.99 Bq.m -3 with mean value of 985.26 Bq.m -3 and from 61.18 Bq.m -3 to of 2237.77 Bq.m -3 with mean value of 1215.16 Bq.m -3 in sediment and soil samples, respectively. The values of radium content for sediment and soil samples extended from 1.96 Bq.kg -1 to 9.75 Bq.kg -1 , with an average value of 4.45 Bq.kg -1 and from 0.28 Bqkg -1 to 10.11 Bq.kg -1 with mean value of 5.49 Bqkg -1, respectively. Uranium concentration in ppm was calculated and its values were found to range from 0.36 to 13.07 ppm, which are comparable with different places around the world. The mass and surface radon exhalation rates vary from 0.079 Bqkg -1 h -1 to 2.88 Bqkg -1 h -1 with a mean value of 1.41 Bqkg -1 h -1 , and from 1.37 Bqm -2 h -1 to 49.98 Bqm -2 h -1 with a mean value of 24.47 Bqm -2 h -1 , respectively. Radium content is observed to be positively correlated with uranium concentration and with rates of radon exhalation in the study area, respectively.","author":[{"dropping-particle":"","family":"Amin","given":"S A","non-dropping-particle":"","parse-names":false,"suffix":""},{"dropping-particle":"","family":"Al-Obiady","given":"A H","non-dropping-particle":"","parse-names":false,"suffix":""},{"dropping-particle":"","family":"Alwan","given":"A","non-dropping-particle":"","parse-names":false,"suffix":""}],"container-title":"Engineering and Technology Journal Part B Technology Journal Part B","id":"ITEM-1","issue":"1","issued":{"date-parts":[["2017"]]},"page":"1-7","title":"Radon Level Measurements in Soil and Sediments at Oil Field Area and Its Impact on the Environment","type":"article-journal","volume":"35"},"uris":["http://www.mendeley.com/documents/?uuid=25770f78-6ce2-4647-8313-d6b5cfb479bf"]}],"mendeley":{"formattedCitation":"[23]","plainTextFormattedCitation":"[23]","previouslyFormattedCitation":"[20]"},"properties":{"noteIndex":0},"schema":"https://github.com/citation-style-language/schema/raw/master/csl-citation.json"}</w:instrText>
            </w:r>
            <w:r w:rsidRPr="006C1D21">
              <w:rPr>
                <w:rFonts w:asciiTheme="majorBidi" w:hAnsiTheme="majorBidi" w:cstheme="majorBidi"/>
                <w:lang w:bidi="ar-IQ"/>
              </w:rPr>
              <w:fldChar w:fldCharType="separate"/>
            </w:r>
            <w:r w:rsidR="0079728D" w:rsidRPr="006C1D21">
              <w:rPr>
                <w:rFonts w:asciiTheme="majorBidi" w:hAnsiTheme="majorBidi" w:cstheme="majorBidi"/>
                <w:noProof/>
                <w:lang w:bidi="ar-IQ"/>
              </w:rPr>
              <w:t>[23]</w:t>
            </w:r>
            <w:r w:rsidRPr="006C1D21">
              <w:rPr>
                <w:rFonts w:asciiTheme="majorBidi" w:hAnsiTheme="majorBidi" w:cstheme="majorBidi"/>
                <w:lang w:bidi="ar-IQ"/>
              </w:rPr>
              <w:fldChar w:fldCharType="end"/>
            </w:r>
          </w:p>
        </w:tc>
      </w:tr>
      <w:tr w:rsidR="0079728D" w:rsidRPr="007B2BC0" w:rsidTr="00057168">
        <w:trPr>
          <w:cantSplit/>
          <w:trHeight w:val="20"/>
        </w:trPr>
        <w:tc>
          <w:tcPr>
            <w:tcW w:w="1213" w:type="pct"/>
            <w:tcBorders>
              <w:top w:val="single" w:sz="4" w:space="0" w:color="auto"/>
              <w:bottom w:val="single" w:sz="4" w:space="0" w:color="auto"/>
            </w:tcBorders>
            <w:shd w:val="clear" w:color="auto" w:fill="FFFFFF" w:themeFill="background1"/>
          </w:tcPr>
          <w:p w:rsidR="0079728D" w:rsidRPr="006C1D21" w:rsidRDefault="0079728D" w:rsidP="00057168">
            <w:pPr>
              <w:spacing w:line="288" w:lineRule="auto"/>
              <w:rPr>
                <w:rFonts w:asciiTheme="majorBidi" w:hAnsiTheme="majorBidi" w:cstheme="majorBidi"/>
                <w:color w:val="000000"/>
              </w:rPr>
            </w:pPr>
            <w:r w:rsidRPr="006C1D21">
              <w:rPr>
                <w:rFonts w:asciiTheme="majorBidi" w:hAnsiTheme="majorBidi" w:cstheme="majorBidi"/>
                <w:color w:val="000000"/>
              </w:rPr>
              <w:t>Alexandria, Egypt</w:t>
            </w:r>
          </w:p>
        </w:tc>
        <w:tc>
          <w:tcPr>
            <w:tcW w:w="989" w:type="pct"/>
            <w:tcBorders>
              <w:top w:val="single" w:sz="4" w:space="0" w:color="auto"/>
              <w:bottom w:val="single" w:sz="4" w:space="0" w:color="auto"/>
            </w:tcBorders>
            <w:shd w:val="clear" w:color="auto" w:fill="FFFFFF" w:themeFill="background1"/>
          </w:tcPr>
          <w:p w:rsidR="0079728D" w:rsidRPr="006C1D21" w:rsidRDefault="0079728D" w:rsidP="00057168">
            <w:pPr>
              <w:autoSpaceDE w:val="0"/>
              <w:autoSpaceDN w:val="0"/>
              <w:adjustRightInd w:val="0"/>
              <w:spacing w:line="288" w:lineRule="auto"/>
              <w:rPr>
                <w:rFonts w:asciiTheme="majorBidi" w:hAnsiTheme="majorBidi" w:cstheme="majorBidi"/>
              </w:rPr>
            </w:pPr>
            <w:r w:rsidRPr="006C1D21">
              <w:rPr>
                <w:rFonts w:asciiTheme="majorBidi" w:hAnsiTheme="majorBidi" w:cstheme="majorBidi"/>
              </w:rPr>
              <w:t>7</w:t>
            </w:r>
          </w:p>
        </w:tc>
        <w:tc>
          <w:tcPr>
            <w:tcW w:w="1152" w:type="pct"/>
            <w:tcBorders>
              <w:top w:val="single" w:sz="4" w:space="0" w:color="auto"/>
              <w:bottom w:val="single" w:sz="4" w:space="0" w:color="auto"/>
            </w:tcBorders>
            <w:shd w:val="clear" w:color="auto" w:fill="FFFFFF" w:themeFill="background1"/>
          </w:tcPr>
          <w:p w:rsidR="0079728D" w:rsidRPr="006C1D21" w:rsidRDefault="0079728D" w:rsidP="00057168">
            <w:pPr>
              <w:autoSpaceDE w:val="0"/>
              <w:autoSpaceDN w:val="0"/>
              <w:adjustRightInd w:val="0"/>
              <w:spacing w:line="288" w:lineRule="auto"/>
              <w:rPr>
                <w:rFonts w:asciiTheme="majorBidi" w:hAnsiTheme="majorBidi" w:cstheme="majorBidi"/>
              </w:rPr>
            </w:pPr>
            <w:r w:rsidRPr="006C1D21">
              <w:rPr>
                <w:rFonts w:asciiTheme="majorBidi" w:hAnsiTheme="majorBidi" w:cstheme="majorBidi"/>
              </w:rPr>
              <w:t>464.4</w:t>
            </w:r>
          </w:p>
        </w:tc>
        <w:tc>
          <w:tcPr>
            <w:tcW w:w="988" w:type="pct"/>
            <w:tcBorders>
              <w:top w:val="single" w:sz="4" w:space="0" w:color="auto"/>
              <w:bottom w:val="single" w:sz="4" w:space="0" w:color="auto"/>
            </w:tcBorders>
            <w:shd w:val="clear" w:color="auto" w:fill="FFFFFF" w:themeFill="background1"/>
          </w:tcPr>
          <w:p w:rsidR="0079728D" w:rsidRPr="006C1D21" w:rsidRDefault="0079728D" w:rsidP="00057168">
            <w:pPr>
              <w:autoSpaceDE w:val="0"/>
              <w:autoSpaceDN w:val="0"/>
              <w:adjustRightInd w:val="0"/>
              <w:spacing w:line="288" w:lineRule="auto"/>
              <w:rPr>
                <w:rFonts w:asciiTheme="majorBidi" w:hAnsiTheme="majorBidi" w:cstheme="majorBidi"/>
              </w:rPr>
            </w:pPr>
            <w:r w:rsidRPr="006C1D21">
              <w:rPr>
                <w:rFonts w:asciiTheme="majorBidi" w:hAnsiTheme="majorBidi" w:cstheme="majorBidi"/>
              </w:rPr>
              <w:t>-</w:t>
            </w:r>
          </w:p>
        </w:tc>
        <w:tc>
          <w:tcPr>
            <w:tcW w:w="658" w:type="pct"/>
            <w:tcBorders>
              <w:top w:val="single" w:sz="4" w:space="0" w:color="auto"/>
              <w:bottom w:val="single" w:sz="4" w:space="0" w:color="auto"/>
            </w:tcBorders>
            <w:shd w:val="clear" w:color="auto" w:fill="FFFFFF" w:themeFill="background1"/>
          </w:tcPr>
          <w:p w:rsidR="0079728D" w:rsidRPr="006C1D21" w:rsidRDefault="00D43566" w:rsidP="00057168">
            <w:pPr>
              <w:spacing w:line="288" w:lineRule="auto"/>
              <w:rPr>
                <w:rFonts w:asciiTheme="majorBidi" w:hAnsiTheme="majorBidi" w:cstheme="majorBidi"/>
                <w:lang w:bidi="ar-IQ"/>
              </w:rPr>
            </w:pPr>
            <w:r w:rsidRPr="006C1D21">
              <w:rPr>
                <w:rFonts w:asciiTheme="majorBidi" w:hAnsiTheme="majorBidi" w:cstheme="majorBidi"/>
                <w:lang w:bidi="ar-IQ"/>
              </w:rPr>
              <w:fldChar w:fldCharType="begin" w:fldLock="1"/>
            </w:r>
            <w:r w:rsidR="0079728D" w:rsidRPr="006C1D21">
              <w:rPr>
                <w:rFonts w:asciiTheme="majorBidi" w:hAnsiTheme="majorBidi" w:cstheme="majorBidi"/>
                <w:lang w:bidi="ar-IQ"/>
              </w:rPr>
              <w:instrText>ADDIN CSL_CITATION {"citationItems":[{"id":"ITEM-1","itemData":{"DOI":"10.1016/S0969-8043(00)00281-5","ISSN":"09698043","abstract":"The free exhalation rates of both thoron and radon, the specific activities of 224Ra, and 226Ra, and the physical properties, such as the emanation coefficients and radon effective diffusion coefficient of several building material samples were determined using LR-115 and CR-39 polymeric nuclear track detectors. The free areal exhalation rate was measured by the sealed cup-technique, whereas the radium content was obtained by the alpha-autoradiographic method. The calibration coefficient for thoron measurements in air using cylindrical cup equipped with LR-115 detector was estimated. Moreover, the calibration coefficients for measurements of the specific activities of 224Ra and 226Ra were also evaluated. New method was developed for evaluating the emanation coefficient as well as the diffusion coefficient of radon isotopes in the studied materials. Copyright (C) 2001 Elsevier Science Ltd.","author":[{"dropping-particle":"","family":"Hafez","given":"A. F.","non-dropping-particle":"","parse-names":false,"suffix":""},{"dropping-particle":"","family":"Hussein","given":"A. S.","non-dropping-particle":"","parse-names":false,"suffix":""},{"dropping-particle":"","family":"Rasheed","given":"N. M.","non-dropping-particle":"","parse-names":false,"suffix":""}],"container-title":"Applied Radiation and Isotopes","id":"ITEM-1","issue":"2","issued":{"date-parts":[["2001"]]},"page":"291-298","title":"A Study of Radon and Thoron Release From Egyptian Building Materials using Polymeric Nuclear Track Detectors","type":"article-journal","volume":"54"},"uris":["http://www.mendeley.com/documents/?uuid=a38a5096-257d-4a46-851a-1950aac2fa84"]}],"mendeley":{"formattedCitation":"[24]","plainTextFormattedCitation":"[24]","previouslyFormattedCitation":"[23]"},"properties":{"noteIndex":0},"schema":"https://github.com/citation-style-language/schema/raw/master/csl-citation.json"}</w:instrText>
            </w:r>
            <w:r w:rsidRPr="006C1D21">
              <w:rPr>
                <w:rFonts w:asciiTheme="majorBidi" w:hAnsiTheme="majorBidi" w:cstheme="majorBidi"/>
                <w:lang w:bidi="ar-IQ"/>
              </w:rPr>
              <w:fldChar w:fldCharType="separate"/>
            </w:r>
            <w:r w:rsidR="0079728D" w:rsidRPr="006C1D21">
              <w:rPr>
                <w:rFonts w:asciiTheme="majorBidi" w:hAnsiTheme="majorBidi" w:cstheme="majorBidi"/>
                <w:noProof/>
                <w:lang w:bidi="ar-IQ"/>
              </w:rPr>
              <w:t>[24]</w:t>
            </w:r>
            <w:r w:rsidRPr="006C1D21">
              <w:rPr>
                <w:rFonts w:asciiTheme="majorBidi" w:hAnsiTheme="majorBidi" w:cstheme="majorBidi"/>
                <w:lang w:bidi="ar-IQ"/>
              </w:rPr>
              <w:fldChar w:fldCharType="end"/>
            </w:r>
          </w:p>
        </w:tc>
      </w:tr>
      <w:tr w:rsidR="0079728D" w:rsidRPr="007B2BC0" w:rsidTr="00057168">
        <w:trPr>
          <w:cantSplit/>
          <w:trHeight w:val="20"/>
        </w:trPr>
        <w:tc>
          <w:tcPr>
            <w:tcW w:w="1213" w:type="pct"/>
            <w:tcBorders>
              <w:top w:val="single" w:sz="4" w:space="0" w:color="auto"/>
              <w:bottom w:val="single" w:sz="4" w:space="0" w:color="auto"/>
            </w:tcBorders>
            <w:shd w:val="clear" w:color="auto" w:fill="FFFFFF" w:themeFill="background1"/>
          </w:tcPr>
          <w:p w:rsidR="0079728D" w:rsidRPr="006C1D21" w:rsidRDefault="0079728D" w:rsidP="00057168">
            <w:pPr>
              <w:spacing w:line="288" w:lineRule="auto"/>
              <w:rPr>
                <w:rFonts w:asciiTheme="majorBidi" w:hAnsiTheme="majorBidi" w:cstheme="majorBidi"/>
                <w:color w:val="000000"/>
              </w:rPr>
            </w:pPr>
            <w:r w:rsidRPr="006C1D21">
              <w:rPr>
                <w:rFonts w:asciiTheme="majorBidi" w:hAnsiTheme="majorBidi" w:cstheme="majorBidi"/>
                <w:color w:val="000000"/>
              </w:rPr>
              <w:t>Saudi-Arabia</w:t>
            </w:r>
          </w:p>
        </w:tc>
        <w:tc>
          <w:tcPr>
            <w:tcW w:w="989" w:type="pct"/>
            <w:tcBorders>
              <w:top w:val="single" w:sz="4" w:space="0" w:color="auto"/>
              <w:bottom w:val="single" w:sz="4" w:space="0" w:color="auto"/>
            </w:tcBorders>
            <w:shd w:val="clear" w:color="auto" w:fill="FFFFFF" w:themeFill="background1"/>
          </w:tcPr>
          <w:p w:rsidR="0079728D" w:rsidRPr="006C1D21" w:rsidRDefault="0079728D" w:rsidP="00057168">
            <w:pPr>
              <w:spacing w:line="288" w:lineRule="auto"/>
              <w:rPr>
                <w:rFonts w:asciiTheme="majorBidi" w:hAnsiTheme="majorBidi" w:cstheme="majorBidi"/>
                <w:color w:val="000000"/>
              </w:rPr>
            </w:pPr>
            <w:r w:rsidRPr="006C1D21">
              <w:rPr>
                <w:rFonts w:asciiTheme="majorBidi" w:hAnsiTheme="majorBidi" w:cstheme="majorBidi"/>
                <w:color w:val="000000"/>
              </w:rPr>
              <w:t xml:space="preserve">75 - 220 </w:t>
            </w:r>
          </w:p>
        </w:tc>
        <w:tc>
          <w:tcPr>
            <w:tcW w:w="1152" w:type="pct"/>
            <w:tcBorders>
              <w:top w:val="single" w:sz="4" w:space="0" w:color="auto"/>
              <w:bottom w:val="single" w:sz="4" w:space="0" w:color="auto"/>
            </w:tcBorders>
            <w:shd w:val="clear" w:color="auto" w:fill="FFFFFF" w:themeFill="background1"/>
          </w:tcPr>
          <w:p w:rsidR="0079728D" w:rsidRPr="006C1D21" w:rsidRDefault="0079728D" w:rsidP="00057168">
            <w:pPr>
              <w:autoSpaceDE w:val="0"/>
              <w:autoSpaceDN w:val="0"/>
              <w:adjustRightInd w:val="0"/>
              <w:spacing w:line="288" w:lineRule="auto"/>
              <w:rPr>
                <w:rFonts w:asciiTheme="majorBidi" w:hAnsiTheme="majorBidi" w:cstheme="majorBidi"/>
              </w:rPr>
            </w:pPr>
          </w:p>
        </w:tc>
        <w:tc>
          <w:tcPr>
            <w:tcW w:w="988" w:type="pct"/>
            <w:tcBorders>
              <w:top w:val="single" w:sz="4" w:space="0" w:color="auto"/>
              <w:bottom w:val="single" w:sz="4" w:space="0" w:color="auto"/>
            </w:tcBorders>
            <w:shd w:val="clear" w:color="auto" w:fill="FFFFFF" w:themeFill="background1"/>
          </w:tcPr>
          <w:p w:rsidR="0079728D" w:rsidRPr="006C1D21" w:rsidRDefault="0079728D" w:rsidP="00057168">
            <w:pPr>
              <w:autoSpaceDE w:val="0"/>
              <w:autoSpaceDN w:val="0"/>
              <w:adjustRightInd w:val="0"/>
              <w:spacing w:line="288" w:lineRule="auto"/>
              <w:rPr>
                <w:rFonts w:asciiTheme="majorBidi" w:hAnsiTheme="majorBidi" w:cstheme="majorBidi"/>
              </w:rPr>
            </w:pPr>
          </w:p>
        </w:tc>
        <w:tc>
          <w:tcPr>
            <w:tcW w:w="658" w:type="pct"/>
            <w:tcBorders>
              <w:top w:val="single" w:sz="4" w:space="0" w:color="auto"/>
              <w:bottom w:val="single" w:sz="4" w:space="0" w:color="auto"/>
            </w:tcBorders>
            <w:shd w:val="clear" w:color="auto" w:fill="FFFFFF" w:themeFill="background1"/>
          </w:tcPr>
          <w:p w:rsidR="0079728D" w:rsidRPr="006C1D21" w:rsidRDefault="00D43566" w:rsidP="00057168">
            <w:pPr>
              <w:spacing w:line="288" w:lineRule="auto"/>
              <w:rPr>
                <w:rFonts w:asciiTheme="majorBidi" w:hAnsiTheme="majorBidi" w:cstheme="majorBidi"/>
                <w:vertAlign w:val="superscript"/>
                <w:lang w:bidi="ar-IQ"/>
              </w:rPr>
            </w:pPr>
            <w:r w:rsidRPr="006C1D21">
              <w:rPr>
                <w:rFonts w:asciiTheme="majorBidi" w:hAnsiTheme="majorBidi" w:cstheme="majorBidi"/>
              </w:rPr>
              <w:fldChar w:fldCharType="begin" w:fldLock="1"/>
            </w:r>
            <w:r w:rsidR="0079728D" w:rsidRPr="006C1D21">
              <w:rPr>
                <w:rFonts w:asciiTheme="majorBidi" w:hAnsiTheme="majorBidi" w:cstheme="majorBidi"/>
              </w:rPr>
              <w:instrText>ADDIN CSL_CITATION {"citationItems":[{"id":"ITEM-1","itemData":{"DOI":"http://dx.doi.org/10.1016/j.physletb.2015.02.036","ISSN":"0370-2693","abstract":"Abstract We address the question of unlikeness of R 2 - and Higgs inflations exhibiting exponentially flat potentials and hence apparently violating the inherent in a chaotic inflation initial condition when kinetic, gradient and potential terms are all of order one in Planck units. Placing the initial conditions in the Jourdan frame we find both models not worse than any other models with unbounded from above potentials: the terms in the Einstein frame are all of the same order, though appropriately smaller. ","author":[{"dropping-particle":"","family":"Alharbi","given":"Wedad Reif","non-dropping-particle":"","parse-names":false,"suffix":""}],"container-title":"Natural Science","id":"ITEM-1","issue":"01","issued":{"date-parts":[["2013"]]},"page":"93-98","title":"Measurement of radon concentrations in soil and the extent of their impact on the environment from Al-Qassim, Saudi Arabia","type":"article-journal","volume":"05"},"uris":["http://www.mendeley.com/documents/?uuid=2e818f07-d2f0-4246-9462-0c51708ddf68"]}],"mendeley":{"formattedCitation":"[3]","plainTextFormattedCitation":"[3]","previouslyFormattedCitation":"[3]"},"properties":{"noteIndex":0},"schema":"https://github.com/citation-style-language/schema/raw/master/csl-citation.json"}</w:instrText>
            </w:r>
            <w:r w:rsidRPr="006C1D21">
              <w:rPr>
                <w:rFonts w:asciiTheme="majorBidi" w:hAnsiTheme="majorBidi" w:cstheme="majorBidi"/>
              </w:rPr>
              <w:fldChar w:fldCharType="separate"/>
            </w:r>
            <w:r w:rsidR="0079728D" w:rsidRPr="006C1D21">
              <w:rPr>
                <w:rFonts w:asciiTheme="majorBidi" w:hAnsiTheme="majorBidi" w:cstheme="majorBidi"/>
                <w:noProof/>
              </w:rPr>
              <w:t>[3]</w:t>
            </w:r>
            <w:r w:rsidRPr="006C1D21">
              <w:rPr>
                <w:rFonts w:asciiTheme="majorBidi" w:hAnsiTheme="majorBidi" w:cstheme="majorBidi"/>
              </w:rPr>
              <w:fldChar w:fldCharType="end"/>
            </w:r>
          </w:p>
        </w:tc>
      </w:tr>
      <w:tr w:rsidR="0079728D" w:rsidRPr="007B2BC0" w:rsidTr="00057168">
        <w:trPr>
          <w:cantSplit/>
          <w:trHeight w:val="20"/>
        </w:trPr>
        <w:tc>
          <w:tcPr>
            <w:tcW w:w="1213" w:type="pct"/>
            <w:shd w:val="clear" w:color="auto" w:fill="FFFFFF" w:themeFill="background1"/>
          </w:tcPr>
          <w:p w:rsidR="0079728D" w:rsidRPr="006C1D21" w:rsidRDefault="0079728D" w:rsidP="00057168">
            <w:pPr>
              <w:spacing w:line="288" w:lineRule="auto"/>
              <w:rPr>
                <w:rFonts w:asciiTheme="majorBidi" w:hAnsiTheme="majorBidi" w:cstheme="majorBidi"/>
                <w:color w:val="000000"/>
              </w:rPr>
            </w:pPr>
            <w:bookmarkStart w:id="68" w:name="OLE_LINK67"/>
            <w:bookmarkStart w:id="69" w:name="OLE_LINK68"/>
            <w:r w:rsidRPr="006C1D21">
              <w:rPr>
                <w:rFonts w:asciiTheme="majorBidi" w:hAnsiTheme="majorBidi" w:cstheme="majorBidi"/>
                <w:color w:val="000000"/>
              </w:rPr>
              <w:t>Mean world value</w:t>
            </w:r>
            <w:bookmarkEnd w:id="68"/>
            <w:bookmarkEnd w:id="69"/>
          </w:p>
        </w:tc>
        <w:tc>
          <w:tcPr>
            <w:tcW w:w="989" w:type="pct"/>
            <w:shd w:val="clear" w:color="auto" w:fill="FFFFFF" w:themeFill="background1"/>
          </w:tcPr>
          <w:p w:rsidR="0079728D" w:rsidRPr="006C1D21" w:rsidRDefault="0079728D" w:rsidP="00057168">
            <w:pPr>
              <w:autoSpaceDE w:val="0"/>
              <w:autoSpaceDN w:val="0"/>
              <w:adjustRightInd w:val="0"/>
              <w:spacing w:line="288" w:lineRule="auto"/>
              <w:rPr>
                <w:rFonts w:asciiTheme="majorBidi" w:hAnsiTheme="majorBidi" w:cstheme="majorBidi"/>
              </w:rPr>
            </w:pPr>
            <w:r w:rsidRPr="006C1D21">
              <w:rPr>
                <w:rFonts w:asciiTheme="majorBidi" w:hAnsiTheme="majorBidi" w:cstheme="majorBidi"/>
              </w:rPr>
              <w:t>&lt;300</w:t>
            </w:r>
          </w:p>
        </w:tc>
        <w:tc>
          <w:tcPr>
            <w:tcW w:w="1152" w:type="pct"/>
            <w:shd w:val="clear" w:color="auto" w:fill="FFFFFF" w:themeFill="background1"/>
          </w:tcPr>
          <w:p w:rsidR="0079728D" w:rsidRPr="006C1D21" w:rsidRDefault="00984344" w:rsidP="00984344">
            <w:pPr>
              <w:tabs>
                <w:tab w:val="left" w:pos="616"/>
                <w:tab w:val="center" w:pos="983"/>
              </w:tabs>
              <w:autoSpaceDE w:val="0"/>
              <w:autoSpaceDN w:val="0"/>
              <w:adjustRightInd w:val="0"/>
              <w:spacing w:line="288" w:lineRule="auto"/>
              <w:jc w:val="left"/>
              <w:rPr>
                <w:rFonts w:asciiTheme="majorBidi" w:hAnsiTheme="majorBidi" w:cstheme="majorBidi"/>
              </w:rPr>
            </w:pPr>
            <w:r w:rsidRPr="006C1D21">
              <w:rPr>
                <w:rFonts w:asciiTheme="majorBidi" w:hAnsiTheme="majorBidi" w:cstheme="majorBidi"/>
              </w:rPr>
              <w:tab/>
            </w:r>
            <w:r w:rsidRPr="006C1D21">
              <w:rPr>
                <w:rFonts w:asciiTheme="majorBidi" w:hAnsiTheme="majorBidi" w:cstheme="majorBidi"/>
              </w:rPr>
              <w:tab/>
            </w:r>
            <w:r w:rsidR="0079728D" w:rsidRPr="006C1D21">
              <w:rPr>
                <w:rFonts w:asciiTheme="majorBidi" w:hAnsiTheme="majorBidi" w:cstheme="majorBidi"/>
              </w:rPr>
              <w:t>57600</w:t>
            </w:r>
          </w:p>
        </w:tc>
        <w:tc>
          <w:tcPr>
            <w:tcW w:w="988" w:type="pct"/>
            <w:shd w:val="clear" w:color="auto" w:fill="FFFFFF" w:themeFill="background1"/>
          </w:tcPr>
          <w:p w:rsidR="0079728D" w:rsidRPr="006C1D21" w:rsidRDefault="0079728D" w:rsidP="00057168">
            <w:pPr>
              <w:autoSpaceDE w:val="0"/>
              <w:autoSpaceDN w:val="0"/>
              <w:adjustRightInd w:val="0"/>
              <w:spacing w:line="288" w:lineRule="auto"/>
              <w:rPr>
                <w:rFonts w:asciiTheme="majorBidi" w:hAnsiTheme="majorBidi" w:cstheme="majorBidi"/>
              </w:rPr>
            </w:pPr>
            <w:r w:rsidRPr="006C1D21">
              <w:rPr>
                <w:rFonts w:asciiTheme="majorBidi" w:hAnsiTheme="majorBidi" w:cstheme="majorBidi"/>
              </w:rPr>
              <w:t>-</w:t>
            </w:r>
          </w:p>
        </w:tc>
        <w:tc>
          <w:tcPr>
            <w:tcW w:w="658" w:type="pct"/>
            <w:shd w:val="clear" w:color="auto" w:fill="FFFFFF" w:themeFill="background1"/>
          </w:tcPr>
          <w:p w:rsidR="0079728D" w:rsidRPr="006C1D21" w:rsidRDefault="00D43566" w:rsidP="00057168">
            <w:pPr>
              <w:spacing w:line="288" w:lineRule="auto"/>
              <w:rPr>
                <w:rFonts w:asciiTheme="majorBidi" w:hAnsiTheme="majorBidi" w:cstheme="majorBidi"/>
                <w:lang w:bidi="ar-IQ"/>
              </w:rPr>
            </w:pPr>
            <w:r w:rsidRPr="006C1D21">
              <w:rPr>
                <w:rFonts w:asciiTheme="majorBidi" w:hAnsiTheme="majorBidi" w:cstheme="majorBidi"/>
              </w:rPr>
              <w:fldChar w:fldCharType="begin" w:fldLock="1"/>
            </w:r>
            <w:r w:rsidR="0079728D" w:rsidRPr="006C1D21">
              <w:rPr>
                <w:rFonts w:asciiTheme="majorBidi" w:hAnsiTheme="majorBidi" w:cstheme="majorBidi"/>
              </w:rPr>
              <w:instrText>ADDIN CSL_CITATION {"citationItems":[{"id":"ITEM-1","itemData":{"author":[{"dropping-particle":"","family":"(EPA)","given":"Environmental Protection Agency","non-dropping-particle":"","parse-names":false,"suffix":""}],"container-title":"Environmental Protection Agency (EPA)","id":"ITEM-1","issued":{"date-parts":[["0"]]},"publisher":"Environmental Protection Agency (EPA)","title":"Health Specialists - Environmental Protection Agency (EPA","type":"article-journal"},"uris":["http://www.mendeley.com/documents/?uuid=3d515ca6-e694-3912-9a56-42a88681b30b"]}],"mendeley":{"formattedCitation":"[12]","plainTextFormattedCitation":"[12]","previouslyFormattedCitation":"[12]"},"properties":{"noteIndex":0},"schema":"https://github.com/citation-style-language/schema/raw/master/csl-citation.json"}</w:instrText>
            </w:r>
            <w:r w:rsidRPr="006C1D21">
              <w:rPr>
                <w:rFonts w:asciiTheme="majorBidi" w:hAnsiTheme="majorBidi" w:cstheme="majorBidi"/>
              </w:rPr>
              <w:fldChar w:fldCharType="separate"/>
            </w:r>
            <w:r w:rsidR="0079728D" w:rsidRPr="006C1D21">
              <w:rPr>
                <w:rFonts w:asciiTheme="majorBidi" w:hAnsiTheme="majorBidi" w:cstheme="majorBidi"/>
                <w:noProof/>
              </w:rPr>
              <w:t>[12]</w:t>
            </w:r>
            <w:r w:rsidRPr="006C1D21">
              <w:rPr>
                <w:rFonts w:asciiTheme="majorBidi" w:hAnsiTheme="majorBidi" w:cstheme="majorBidi"/>
              </w:rPr>
              <w:fldChar w:fldCharType="end"/>
            </w:r>
            <w:r w:rsidRPr="006C1D21">
              <w:rPr>
                <w:rFonts w:asciiTheme="majorBidi" w:hAnsiTheme="majorBidi" w:cstheme="majorBidi"/>
                <w:vertAlign w:val="superscript"/>
                <w:lang w:bidi="ar-IQ"/>
              </w:rPr>
              <w:fldChar w:fldCharType="begin" w:fldLock="1"/>
            </w:r>
            <w:r w:rsidR="0079728D" w:rsidRPr="006C1D21">
              <w:rPr>
                <w:rFonts w:asciiTheme="majorBidi" w:hAnsiTheme="majorBidi" w:cstheme="majorBidi"/>
                <w:vertAlign w:val="superscript"/>
                <w:lang w:bidi="ar-IQ"/>
              </w:rPr>
              <w:instrText>ADDIN CSL_CITATION {"citationItems":[{"id":"ITEM-1","itemData":{"author":[{"dropping-particle":"","family":"M. H. WILKENING","given":"W. E. CLEMENTS and D. STANLEY","non-dropping-particle":"","parse-names":false,"suffix":""}],"container-title":"technical information service, Springfield","id":"ITEM-1","issued":{"date-parts":[["0"]]},"page":"II pp. 717- 730","title":"Radon-222 Flux Measurements in Widely Separated Regions, in the Natural Radiation Environment","type":"article-journal"},"uris":["http://www.mendeley.com/documents/?uuid=9ca8396e-1736-4de4-9247-6d221087d72b"]}],"mendeley":{"formattedCitation":"[13]","plainTextFormattedCitation":"[13]","previouslyFormattedCitation":"[13]"},"properties":{"noteIndex":0},"schema":"https://github.com/citation-style-language/schema/raw/master/csl-citation.json"}</w:instrText>
            </w:r>
            <w:r w:rsidRPr="006C1D21">
              <w:rPr>
                <w:rFonts w:asciiTheme="majorBidi" w:hAnsiTheme="majorBidi" w:cstheme="majorBidi"/>
                <w:vertAlign w:val="superscript"/>
                <w:lang w:bidi="ar-IQ"/>
              </w:rPr>
              <w:fldChar w:fldCharType="separate"/>
            </w:r>
            <w:r w:rsidR="0079728D" w:rsidRPr="006C1D21">
              <w:rPr>
                <w:rFonts w:asciiTheme="majorBidi" w:hAnsiTheme="majorBidi" w:cstheme="majorBidi"/>
                <w:noProof/>
                <w:lang w:bidi="ar-IQ"/>
              </w:rPr>
              <w:t>[13]</w:t>
            </w:r>
            <w:r w:rsidRPr="006C1D21">
              <w:rPr>
                <w:rFonts w:asciiTheme="majorBidi" w:hAnsiTheme="majorBidi" w:cstheme="majorBidi"/>
                <w:vertAlign w:val="superscript"/>
                <w:lang w:bidi="ar-IQ"/>
              </w:rPr>
              <w:fldChar w:fldCharType="end"/>
            </w:r>
          </w:p>
        </w:tc>
      </w:tr>
    </w:tbl>
    <w:p w:rsidR="003A01B0" w:rsidRPr="007D31B3" w:rsidRDefault="003A01B0" w:rsidP="00407CDC">
      <w:pPr>
        <w:spacing w:before="40" w:after="360" w:line="228" w:lineRule="auto"/>
        <w:jc w:val="left"/>
        <w:rPr>
          <w:sz w:val="2"/>
          <w:szCs w:val="2"/>
        </w:rPr>
        <w:sectPr w:rsidR="003A01B0" w:rsidRPr="007D31B3" w:rsidSect="003A01B0">
          <w:type w:val="continuous"/>
          <w:pgSz w:w="12240" w:h="15840"/>
          <w:pgMar w:top="1004" w:right="1004" w:bottom="1004" w:left="1004" w:header="567" w:footer="567" w:gutter="0"/>
          <w:cols w:space="720"/>
          <w:docGrid w:linePitch="360"/>
        </w:sectPr>
      </w:pPr>
    </w:p>
    <w:p w:rsidR="00FD4153" w:rsidRDefault="00FD4153" w:rsidP="00FD4153">
      <w:pPr>
        <w:pStyle w:val="ETASRHeading1"/>
        <w:numPr>
          <w:ilvl w:val="0"/>
          <w:numId w:val="0"/>
        </w:numPr>
        <w:ind w:left="360"/>
        <w:contextualSpacing/>
      </w:pPr>
    </w:p>
    <w:p w:rsidR="007D466C" w:rsidRPr="003A01B0" w:rsidRDefault="007D466C" w:rsidP="00FD4153">
      <w:pPr>
        <w:pStyle w:val="ETASRHeading1"/>
        <w:numPr>
          <w:ilvl w:val="0"/>
          <w:numId w:val="10"/>
        </w:numPr>
        <w:contextualSpacing/>
      </w:pPr>
      <w:r w:rsidRPr="00C06967">
        <w:t>Conclusion</w:t>
      </w:r>
      <w:bookmarkStart w:id="70" w:name="OLE_LINK12"/>
      <w:bookmarkStart w:id="71" w:name="OLE_LINK13"/>
    </w:p>
    <w:p w:rsidR="007D466C" w:rsidRPr="00C06967" w:rsidRDefault="007D466C" w:rsidP="00033C3E">
      <w:pPr>
        <w:pStyle w:val="ETASRbodytext"/>
        <w:ind w:left="284" w:firstLine="0"/>
      </w:pPr>
      <w:r w:rsidRPr="00C06967">
        <w:t xml:space="preserve">There are difference of the amount of Radon gas and its exhalation rate from the depth and the surface formation soil, over all the surfaces average was greater than the depth of soil as </w:t>
      </w:r>
      <w:proofErr w:type="gramStart"/>
      <w:r w:rsidRPr="00C06967">
        <w:t>of  31.59</w:t>
      </w:r>
      <w:proofErr w:type="gramEnd"/>
      <w:r w:rsidRPr="00C06967">
        <w:t xml:space="preserve"> % radon and 34.36% exhalation per area then 24.43% exhalation per mass. </w:t>
      </w:r>
      <w:r w:rsidRPr="00C06967">
        <w:lastRenderedPageBreak/>
        <w:t>The naturally decay of uranium producing the radon gas, RAD7 was the easiest way to find radon concentration in the soil. All the result shows that the rates less than mean world value.</w:t>
      </w:r>
      <w:bookmarkEnd w:id="70"/>
      <w:bookmarkEnd w:id="71"/>
    </w:p>
    <w:p w:rsidR="007D466C" w:rsidRPr="003A01B0" w:rsidRDefault="007D466C" w:rsidP="00033C3E">
      <w:pPr>
        <w:pStyle w:val="ETASRHeading1"/>
        <w:numPr>
          <w:ilvl w:val="0"/>
          <w:numId w:val="0"/>
        </w:numPr>
        <w:ind w:left="284"/>
        <w:contextualSpacing/>
      </w:pPr>
      <w:r w:rsidRPr="007D466C">
        <w:t>Reference</w:t>
      </w:r>
    </w:p>
    <w:p w:rsidR="007D466C" w:rsidRPr="00C56E76" w:rsidRDefault="00D43566" w:rsidP="00C56E76">
      <w:pPr>
        <w:pStyle w:val="ETASRbodytext"/>
        <w:ind w:left="284" w:hanging="426"/>
        <w:rPr>
          <w:rFonts w:eastAsia="SimSun"/>
          <w:spacing w:val="0"/>
          <w:sz w:val="16"/>
          <w:szCs w:val="16"/>
        </w:rPr>
      </w:pPr>
      <w:r w:rsidRPr="00C06967">
        <w:fldChar w:fldCharType="begin" w:fldLock="1"/>
      </w:r>
      <w:r w:rsidR="007D466C" w:rsidRPr="00C06967">
        <w:instrText xml:space="preserve">ADDIN Mendeley Bibliography CSL_BIBLIOGRAPHY </w:instrText>
      </w:r>
      <w:r w:rsidRPr="00C06967">
        <w:fldChar w:fldCharType="separate"/>
      </w:r>
      <w:r w:rsidR="007D466C" w:rsidRPr="00C56E76">
        <w:rPr>
          <w:rFonts w:eastAsia="SimSun"/>
          <w:spacing w:val="0"/>
          <w:sz w:val="16"/>
          <w:szCs w:val="16"/>
        </w:rPr>
        <w:t>[1]</w:t>
      </w:r>
      <w:r w:rsidR="007D466C" w:rsidRPr="00C56E76">
        <w:rPr>
          <w:rFonts w:eastAsia="SimSun"/>
          <w:spacing w:val="0"/>
          <w:sz w:val="16"/>
          <w:szCs w:val="16"/>
        </w:rPr>
        <w:tab/>
        <w:t>K. P. Smith, “Overview of Naturally Occurring Radioaiv Materials (NORM) in the Petroleum Industry,” Work, 1992.</w:t>
      </w:r>
    </w:p>
    <w:p w:rsidR="007D466C" w:rsidRPr="00C56E76" w:rsidRDefault="007D466C" w:rsidP="00C56E76">
      <w:pPr>
        <w:pStyle w:val="ETASRbodytext"/>
        <w:ind w:left="284" w:hanging="426"/>
        <w:rPr>
          <w:rFonts w:eastAsia="SimSun"/>
          <w:spacing w:val="0"/>
          <w:sz w:val="16"/>
          <w:szCs w:val="16"/>
        </w:rPr>
      </w:pPr>
      <w:r w:rsidRPr="00C56E76">
        <w:rPr>
          <w:rFonts w:eastAsia="SimSun"/>
          <w:spacing w:val="0"/>
          <w:sz w:val="16"/>
          <w:szCs w:val="16"/>
        </w:rPr>
        <w:lastRenderedPageBreak/>
        <w:t>[2]</w:t>
      </w:r>
      <w:r w:rsidRPr="00C56E76">
        <w:rPr>
          <w:rFonts w:eastAsia="SimSun"/>
          <w:spacing w:val="0"/>
          <w:sz w:val="16"/>
          <w:szCs w:val="16"/>
        </w:rPr>
        <w:tab/>
        <w:t>M. A. Hilal, M. F. Attallah, G. Y. Mohamed, and M. Fayez-Hassan, “Evaluation of radiation hazard potential of TENORM waste from oil and natural gas production,” J. Environ. Radioact., vol. 136, pp. 121–126, 2014.</w:t>
      </w:r>
    </w:p>
    <w:p w:rsidR="00A60463" w:rsidRPr="00C56E76" w:rsidRDefault="00A60463" w:rsidP="00C56E76">
      <w:pPr>
        <w:pStyle w:val="ETASRbodytext"/>
        <w:ind w:left="284" w:hanging="426"/>
        <w:rPr>
          <w:rFonts w:eastAsia="SimSun"/>
          <w:spacing w:val="0"/>
          <w:sz w:val="16"/>
          <w:szCs w:val="16"/>
        </w:rPr>
      </w:pPr>
    </w:p>
    <w:p w:rsidR="007D466C" w:rsidRPr="00C56E76" w:rsidRDefault="007D466C" w:rsidP="00C56E76">
      <w:pPr>
        <w:pStyle w:val="ETASRbodytext"/>
        <w:ind w:left="284" w:hanging="426"/>
        <w:rPr>
          <w:rFonts w:eastAsia="SimSun"/>
          <w:spacing w:val="0"/>
          <w:sz w:val="16"/>
          <w:szCs w:val="16"/>
        </w:rPr>
      </w:pPr>
      <w:r w:rsidRPr="00C56E76">
        <w:rPr>
          <w:rFonts w:eastAsia="SimSun"/>
          <w:spacing w:val="0"/>
          <w:sz w:val="16"/>
          <w:szCs w:val="16"/>
        </w:rPr>
        <w:t>[3]</w:t>
      </w:r>
      <w:r w:rsidRPr="00C56E76">
        <w:rPr>
          <w:rFonts w:eastAsia="SimSun"/>
          <w:spacing w:val="0"/>
          <w:sz w:val="16"/>
          <w:szCs w:val="16"/>
        </w:rPr>
        <w:tab/>
        <w:t>W. R. Alharbi, “Measurement of radon concentrations in soil and the extent of their impact on the environment from Al-Qassim, Saudi Arabia,” Nat. Sci., vol. 05, no. 01, pp. 93–98, 2013.</w:t>
      </w:r>
    </w:p>
    <w:p w:rsidR="007D466C" w:rsidRPr="00C56E76" w:rsidRDefault="007D466C" w:rsidP="00C56E76">
      <w:pPr>
        <w:pStyle w:val="ETASRbodytext"/>
        <w:ind w:left="284" w:hanging="426"/>
        <w:rPr>
          <w:rFonts w:eastAsia="SimSun"/>
          <w:spacing w:val="0"/>
          <w:sz w:val="16"/>
          <w:szCs w:val="16"/>
        </w:rPr>
      </w:pPr>
      <w:r w:rsidRPr="00C56E76">
        <w:rPr>
          <w:rFonts w:eastAsia="SimSun"/>
          <w:spacing w:val="0"/>
          <w:sz w:val="16"/>
          <w:szCs w:val="16"/>
        </w:rPr>
        <w:t>[4]</w:t>
      </w:r>
      <w:r w:rsidRPr="00C56E76">
        <w:rPr>
          <w:rFonts w:eastAsia="SimSun"/>
          <w:spacing w:val="0"/>
          <w:sz w:val="16"/>
          <w:szCs w:val="16"/>
        </w:rPr>
        <w:tab/>
        <w:t>S. Mittal, A. Rani, and R. Mehra, “Estimation of radon concentration in soil and groundwater samples of Northern Rajasthan, India,” J. Radiat. Res. Appl. Sci., vol. 9, no. 2, pp. 125–130, 2015.</w:t>
      </w:r>
    </w:p>
    <w:p w:rsidR="007D466C" w:rsidRPr="00C56E76" w:rsidRDefault="007D466C" w:rsidP="00C56E76">
      <w:pPr>
        <w:pStyle w:val="ETASRbodytext"/>
        <w:ind w:left="284" w:hanging="426"/>
        <w:rPr>
          <w:rFonts w:eastAsia="SimSun"/>
          <w:spacing w:val="0"/>
          <w:sz w:val="16"/>
          <w:szCs w:val="16"/>
        </w:rPr>
      </w:pPr>
      <w:r w:rsidRPr="00C56E76">
        <w:rPr>
          <w:rFonts w:eastAsia="SimSun"/>
          <w:spacing w:val="0"/>
          <w:sz w:val="16"/>
          <w:szCs w:val="16"/>
        </w:rPr>
        <w:t>[5]</w:t>
      </w:r>
      <w:r w:rsidRPr="00C56E76">
        <w:rPr>
          <w:rFonts w:eastAsia="SimSun"/>
          <w:spacing w:val="0"/>
          <w:sz w:val="16"/>
          <w:szCs w:val="16"/>
        </w:rPr>
        <w:tab/>
        <w:t>G. Prasad, Y. Prasad, G. S. Gusain, and R. C. Ramola, “Measurement of radon and thoron levels in soil, water and indoor atmosphere of Budhakedar in Garhwal Himalaya, India,” Radiat. Meas., vol. 43, no. SUPPL.1, pp. 375–379, 2008.</w:t>
      </w:r>
    </w:p>
    <w:p w:rsidR="007D466C" w:rsidRPr="00C56E76" w:rsidRDefault="007D466C" w:rsidP="00C56E76">
      <w:pPr>
        <w:pStyle w:val="ETASRbodytext"/>
        <w:ind w:left="284" w:hanging="426"/>
        <w:rPr>
          <w:rFonts w:eastAsia="SimSun"/>
          <w:spacing w:val="0"/>
          <w:sz w:val="16"/>
          <w:szCs w:val="16"/>
        </w:rPr>
      </w:pPr>
      <w:r w:rsidRPr="00C56E76">
        <w:rPr>
          <w:rFonts w:eastAsia="SimSun"/>
          <w:spacing w:val="0"/>
          <w:sz w:val="16"/>
          <w:szCs w:val="16"/>
        </w:rPr>
        <w:t>[6]</w:t>
      </w:r>
      <w:r w:rsidRPr="00C56E76">
        <w:rPr>
          <w:rFonts w:eastAsia="SimSun"/>
          <w:spacing w:val="0"/>
          <w:sz w:val="16"/>
          <w:szCs w:val="16"/>
        </w:rPr>
        <w:tab/>
        <w:t>R. Shweikani and M. Hushari, “The correlations between Radon in soil gas and its exhalation and concentration in air in the southern part of Syria,” Radiat. Meas., vol. 40, no. 2–6, pp. 699–703, 2005.</w:t>
      </w:r>
    </w:p>
    <w:p w:rsidR="007D466C" w:rsidRPr="00C56E76" w:rsidRDefault="007D466C" w:rsidP="00C56E76">
      <w:pPr>
        <w:pStyle w:val="ETASRbodytext"/>
        <w:ind w:left="284" w:hanging="426"/>
        <w:rPr>
          <w:rFonts w:eastAsia="SimSun"/>
          <w:spacing w:val="0"/>
          <w:sz w:val="16"/>
          <w:szCs w:val="16"/>
        </w:rPr>
      </w:pPr>
      <w:r w:rsidRPr="00C56E76">
        <w:rPr>
          <w:rFonts w:eastAsia="SimSun"/>
          <w:spacing w:val="0"/>
          <w:sz w:val="16"/>
          <w:szCs w:val="16"/>
        </w:rPr>
        <w:t>[7]</w:t>
      </w:r>
      <w:r w:rsidRPr="00C56E76">
        <w:rPr>
          <w:rFonts w:eastAsia="SimSun"/>
          <w:spacing w:val="0"/>
          <w:sz w:val="16"/>
          <w:szCs w:val="16"/>
        </w:rPr>
        <w:tab/>
        <w:t>J. Jebur and A. Subber, “Activity Concentration of 222Rn Gas,226Ra, 232Th and 40K in Crops and Soil Taken from Safwan Granges Using Active, Passive and Gamma Spectroscopy Techniques,” Br. J. Appl. Sci. Technol., vol. 11, no. 6, pp. 1–12, 2015.</w:t>
      </w:r>
    </w:p>
    <w:p w:rsidR="007D466C" w:rsidRPr="00C56E76" w:rsidRDefault="007D466C" w:rsidP="00C56E76">
      <w:pPr>
        <w:pStyle w:val="ETASRbodytext"/>
        <w:ind w:left="284" w:hanging="426"/>
        <w:rPr>
          <w:rFonts w:eastAsia="SimSun"/>
          <w:spacing w:val="0"/>
          <w:sz w:val="16"/>
          <w:szCs w:val="16"/>
        </w:rPr>
      </w:pPr>
      <w:r w:rsidRPr="00C56E76">
        <w:rPr>
          <w:rFonts w:eastAsia="SimSun"/>
          <w:spacing w:val="0"/>
          <w:sz w:val="16"/>
          <w:szCs w:val="16"/>
        </w:rPr>
        <w:t>[8]</w:t>
      </w:r>
      <w:r w:rsidRPr="00C56E76">
        <w:rPr>
          <w:rFonts w:eastAsia="SimSun"/>
          <w:spacing w:val="0"/>
          <w:sz w:val="16"/>
          <w:szCs w:val="16"/>
        </w:rPr>
        <w:tab/>
        <w:t>H. Pradesh, “Geology of Radon Occurrence Around Jari in Parvati,” vol. 34, no. 2, pp. 139–147, 1997.</w:t>
      </w:r>
    </w:p>
    <w:p w:rsidR="007D466C" w:rsidRPr="00C56E76" w:rsidRDefault="007D466C" w:rsidP="00C56E76">
      <w:pPr>
        <w:pStyle w:val="ETASRbodytext"/>
        <w:ind w:left="284" w:hanging="426"/>
        <w:rPr>
          <w:rFonts w:eastAsia="SimSun"/>
          <w:spacing w:val="0"/>
          <w:sz w:val="16"/>
          <w:szCs w:val="16"/>
        </w:rPr>
      </w:pPr>
      <w:r w:rsidRPr="00C56E76">
        <w:rPr>
          <w:rFonts w:eastAsia="SimSun"/>
          <w:spacing w:val="0"/>
          <w:sz w:val="16"/>
          <w:szCs w:val="16"/>
        </w:rPr>
        <w:t>[9]</w:t>
      </w:r>
      <w:r w:rsidRPr="00C56E76">
        <w:rPr>
          <w:rFonts w:eastAsia="SimSun"/>
          <w:spacing w:val="0"/>
          <w:sz w:val="16"/>
          <w:szCs w:val="16"/>
        </w:rPr>
        <w:tab/>
        <w:t>R. Mehra, “Measurement of soil-gas radon in some areas of northern Rajasthan, India,” J. Earth Syst. Sci., vol. 123, no. 6, pp. 1241–1247, 2014.</w:t>
      </w:r>
    </w:p>
    <w:p w:rsidR="007D466C" w:rsidRPr="00C56E76" w:rsidRDefault="007D466C" w:rsidP="00C56E76">
      <w:pPr>
        <w:pStyle w:val="ETASRbodytext"/>
        <w:ind w:left="284" w:hanging="426"/>
        <w:rPr>
          <w:rFonts w:eastAsia="SimSun"/>
          <w:spacing w:val="0"/>
          <w:sz w:val="16"/>
          <w:szCs w:val="16"/>
        </w:rPr>
      </w:pPr>
      <w:r w:rsidRPr="00C56E76">
        <w:rPr>
          <w:rFonts w:eastAsia="SimSun"/>
          <w:spacing w:val="0"/>
          <w:sz w:val="16"/>
          <w:szCs w:val="16"/>
        </w:rPr>
        <w:t>[10]</w:t>
      </w:r>
      <w:r w:rsidRPr="00C56E76">
        <w:rPr>
          <w:rFonts w:eastAsia="SimSun"/>
          <w:spacing w:val="0"/>
          <w:sz w:val="16"/>
          <w:szCs w:val="16"/>
        </w:rPr>
        <w:tab/>
        <w:t>T. K. Ball, D. G. Cameron, T. B. Colman, and P. D. Roberts, “Behaviour of radon in the geological environment: a review,” Q. J. Eng. Geol. Hydrogeol., vol. 24, no. 2, pp. 169–182, 1991.</w:t>
      </w:r>
    </w:p>
    <w:p w:rsidR="007D466C" w:rsidRPr="00C56E76" w:rsidRDefault="007D466C" w:rsidP="00C56E76">
      <w:pPr>
        <w:pStyle w:val="ETASRbodytext"/>
        <w:ind w:left="284" w:hanging="426"/>
        <w:rPr>
          <w:rFonts w:eastAsia="SimSun"/>
          <w:spacing w:val="0"/>
          <w:sz w:val="16"/>
          <w:szCs w:val="16"/>
        </w:rPr>
      </w:pPr>
      <w:r w:rsidRPr="00C56E76">
        <w:rPr>
          <w:rFonts w:eastAsia="SimSun"/>
          <w:spacing w:val="0"/>
          <w:sz w:val="16"/>
          <w:szCs w:val="16"/>
        </w:rPr>
        <w:t>[11]</w:t>
      </w:r>
      <w:r w:rsidRPr="00C56E76">
        <w:rPr>
          <w:rFonts w:eastAsia="SimSun"/>
          <w:spacing w:val="0"/>
          <w:sz w:val="16"/>
          <w:szCs w:val="16"/>
        </w:rPr>
        <w:tab/>
        <w:t>A. A. Al-hamidawi, Q. S. Jabar, A. H. Al Mashhadani, and A. A. Al Bayati, “Measurement of Radon and Thoron Concentrations of Soil- Gas in Al-Kufa City using RAD-7 Detector,” Iraqi J. Phys., vol. 10, no. 19, pp. 110–116, 2012.</w:t>
      </w:r>
    </w:p>
    <w:p w:rsidR="007D466C" w:rsidRPr="00C56E76" w:rsidRDefault="007D466C" w:rsidP="00C56E76">
      <w:pPr>
        <w:pStyle w:val="ETASRbodytext"/>
        <w:ind w:left="284" w:hanging="426"/>
        <w:rPr>
          <w:rFonts w:eastAsia="SimSun"/>
          <w:spacing w:val="0"/>
          <w:sz w:val="16"/>
          <w:szCs w:val="16"/>
        </w:rPr>
      </w:pPr>
      <w:r w:rsidRPr="00C56E76">
        <w:rPr>
          <w:rFonts w:eastAsia="SimSun"/>
          <w:spacing w:val="0"/>
          <w:sz w:val="16"/>
          <w:szCs w:val="16"/>
        </w:rPr>
        <w:t>[12]</w:t>
      </w:r>
      <w:r w:rsidRPr="00C56E76">
        <w:rPr>
          <w:rFonts w:eastAsia="SimSun"/>
          <w:spacing w:val="0"/>
          <w:sz w:val="16"/>
          <w:szCs w:val="16"/>
        </w:rPr>
        <w:tab/>
        <w:t>E. P. A. (EPA), “Health Specialists - Environmental Protection Agency (EPA,” Environ. Prot. Agency.</w:t>
      </w:r>
    </w:p>
    <w:p w:rsidR="007D466C" w:rsidRPr="00C56E76" w:rsidRDefault="007D466C" w:rsidP="00C56E76">
      <w:pPr>
        <w:pStyle w:val="ETASRbodytext"/>
        <w:ind w:left="284" w:hanging="426"/>
        <w:rPr>
          <w:rFonts w:eastAsia="SimSun"/>
          <w:spacing w:val="0"/>
          <w:sz w:val="16"/>
          <w:szCs w:val="16"/>
        </w:rPr>
      </w:pPr>
      <w:r w:rsidRPr="00C56E76">
        <w:rPr>
          <w:rFonts w:eastAsia="SimSun"/>
          <w:spacing w:val="0"/>
          <w:sz w:val="16"/>
          <w:szCs w:val="16"/>
        </w:rPr>
        <w:t>[13]</w:t>
      </w:r>
      <w:r w:rsidRPr="00C56E76">
        <w:rPr>
          <w:rFonts w:eastAsia="SimSun"/>
          <w:spacing w:val="0"/>
          <w:sz w:val="16"/>
          <w:szCs w:val="16"/>
        </w:rPr>
        <w:tab/>
        <w:t>W. E. C. and D. S. M. H. WILKENING, “Radon-222 Flux Measurements in Widely Separated Regions, in the Natural Radiation Environment,” Tech. Inf. Serv. Springf., p. II pp. 717-730.</w:t>
      </w:r>
    </w:p>
    <w:p w:rsidR="007D466C" w:rsidRPr="00C56E76" w:rsidRDefault="007D466C" w:rsidP="00C56E76">
      <w:pPr>
        <w:pStyle w:val="ETASRbodytext"/>
        <w:ind w:left="284" w:hanging="426"/>
        <w:rPr>
          <w:rFonts w:eastAsia="SimSun"/>
          <w:spacing w:val="0"/>
          <w:sz w:val="16"/>
          <w:szCs w:val="16"/>
        </w:rPr>
      </w:pPr>
      <w:r w:rsidRPr="00C56E76">
        <w:rPr>
          <w:rFonts w:eastAsia="SimSun"/>
          <w:spacing w:val="0"/>
          <w:sz w:val="16"/>
          <w:szCs w:val="16"/>
        </w:rPr>
        <w:lastRenderedPageBreak/>
        <w:t>[14]</w:t>
      </w:r>
      <w:r w:rsidRPr="00C56E76">
        <w:rPr>
          <w:rFonts w:eastAsia="SimSun"/>
          <w:spacing w:val="0"/>
          <w:sz w:val="16"/>
          <w:szCs w:val="16"/>
        </w:rPr>
        <w:tab/>
        <w:t>S. Singh, M. Kumar, and R. K. Mahajan, “The Study of Indoor Radon in Dwellings of Bathinda District, Punjab, India and its Correlation with Uranium and Radon Exhalation Rate in Soil,” Radiat. Meas., vol. 39, no. 5, pp. 535–542, 2005.</w:t>
      </w:r>
    </w:p>
    <w:p w:rsidR="007D466C" w:rsidRPr="00C56E76" w:rsidRDefault="007D466C" w:rsidP="00C56E76">
      <w:pPr>
        <w:pStyle w:val="ETASRbodytext"/>
        <w:ind w:left="284" w:hanging="426"/>
        <w:rPr>
          <w:rFonts w:eastAsia="SimSun"/>
          <w:spacing w:val="0"/>
          <w:sz w:val="16"/>
          <w:szCs w:val="16"/>
        </w:rPr>
      </w:pPr>
      <w:r w:rsidRPr="00C56E76">
        <w:rPr>
          <w:rFonts w:eastAsia="SimSun"/>
          <w:spacing w:val="0"/>
          <w:sz w:val="16"/>
          <w:szCs w:val="16"/>
        </w:rPr>
        <w:t>[15]</w:t>
      </w:r>
      <w:r w:rsidRPr="00C56E76">
        <w:rPr>
          <w:rFonts w:eastAsia="SimSun"/>
          <w:spacing w:val="0"/>
          <w:sz w:val="16"/>
          <w:szCs w:val="16"/>
        </w:rPr>
        <w:tab/>
        <w:t>O. Baykara, M. Doǧru, M. Inceöz, and E. Aksoy, “Measurements of Radon Emanation from Soil Samples in Triple-Junction of North and East Anatolian Active Faults Systems in Turkey,” Radiat. Meas., vol. 39, no. 2, pp. 209–212, 2005.</w:t>
      </w:r>
    </w:p>
    <w:p w:rsidR="007D466C" w:rsidRPr="00C56E76" w:rsidRDefault="007D466C" w:rsidP="00C56E76">
      <w:pPr>
        <w:pStyle w:val="ETASRbodytext"/>
        <w:ind w:left="284" w:hanging="426"/>
        <w:rPr>
          <w:rFonts w:eastAsia="SimSun"/>
          <w:spacing w:val="0"/>
          <w:sz w:val="16"/>
          <w:szCs w:val="16"/>
        </w:rPr>
      </w:pPr>
      <w:r w:rsidRPr="00C56E76">
        <w:rPr>
          <w:rFonts w:eastAsia="SimSun"/>
          <w:spacing w:val="0"/>
          <w:sz w:val="16"/>
          <w:szCs w:val="16"/>
        </w:rPr>
        <w:t>[16]</w:t>
      </w:r>
      <w:r w:rsidRPr="00C56E76">
        <w:rPr>
          <w:rFonts w:eastAsia="SimSun"/>
          <w:spacing w:val="0"/>
          <w:sz w:val="16"/>
          <w:szCs w:val="16"/>
        </w:rPr>
        <w:tab/>
        <w:t>H. H. Aziz, “A Study of Radon and Thoron Gases Release from Iraqi-Kurdistan Building Materials Using Passive and Active Methods,” vol. 2010, 2010.</w:t>
      </w:r>
    </w:p>
    <w:p w:rsidR="007D466C" w:rsidRPr="00C56E76" w:rsidRDefault="00111341" w:rsidP="00C56E76">
      <w:pPr>
        <w:pStyle w:val="ETASRbodytext"/>
        <w:ind w:left="284" w:hanging="426"/>
        <w:rPr>
          <w:rFonts w:eastAsia="SimSun"/>
          <w:spacing w:val="0"/>
          <w:sz w:val="16"/>
          <w:szCs w:val="16"/>
        </w:rPr>
      </w:pPr>
      <w:r w:rsidRPr="00C56E76">
        <w:rPr>
          <w:rFonts w:eastAsia="SimSun"/>
          <w:spacing w:val="0"/>
          <w:sz w:val="16"/>
          <w:szCs w:val="16"/>
        </w:rPr>
        <w:t>[17</w:t>
      </w:r>
      <w:proofErr w:type="gramStart"/>
      <w:r w:rsidRPr="00C56E76">
        <w:rPr>
          <w:rFonts w:eastAsia="SimSun"/>
          <w:spacing w:val="0"/>
          <w:sz w:val="16"/>
          <w:szCs w:val="16"/>
        </w:rPr>
        <w:t xml:space="preserve">] </w:t>
      </w:r>
      <w:r w:rsidR="009347B8">
        <w:rPr>
          <w:rFonts w:eastAsia="SimSun"/>
          <w:spacing w:val="0"/>
          <w:sz w:val="16"/>
          <w:szCs w:val="16"/>
        </w:rPr>
        <w:t xml:space="preserve"> </w:t>
      </w:r>
      <w:r w:rsidR="007D466C" w:rsidRPr="00C56E76">
        <w:rPr>
          <w:rFonts w:eastAsia="SimSun"/>
          <w:spacing w:val="0"/>
          <w:sz w:val="16"/>
          <w:szCs w:val="16"/>
        </w:rPr>
        <w:t>A</w:t>
      </w:r>
      <w:proofErr w:type="gramEnd"/>
      <w:r w:rsidR="007D466C" w:rsidRPr="00C56E76">
        <w:rPr>
          <w:rFonts w:eastAsia="SimSun"/>
          <w:spacing w:val="0"/>
          <w:sz w:val="16"/>
          <w:szCs w:val="16"/>
        </w:rPr>
        <w:t>. H. Ismail, M. S. Jaafar, and A. S. Collection, “Hazards Assessment of Radon Exhalation Rate and Radium Content in the Soil Samples in Iraqi Kurdistan Using Passive and Active Detecting Methods,” vol. 4, no. June 2009, pp. 638–641, 2010.</w:t>
      </w:r>
    </w:p>
    <w:p w:rsidR="007D466C" w:rsidRPr="00C56E76" w:rsidRDefault="007D466C" w:rsidP="00C56E76">
      <w:pPr>
        <w:pStyle w:val="ETASRbodytext"/>
        <w:ind w:left="284" w:hanging="426"/>
        <w:rPr>
          <w:rFonts w:eastAsia="SimSun"/>
          <w:spacing w:val="0"/>
          <w:sz w:val="16"/>
          <w:szCs w:val="16"/>
        </w:rPr>
      </w:pPr>
      <w:r w:rsidRPr="00C56E76">
        <w:rPr>
          <w:rFonts w:eastAsia="SimSun"/>
          <w:spacing w:val="0"/>
          <w:sz w:val="16"/>
          <w:szCs w:val="16"/>
        </w:rPr>
        <w:t>[18]</w:t>
      </w:r>
      <w:r w:rsidRPr="00C56E76">
        <w:rPr>
          <w:rFonts w:eastAsia="SimSun"/>
          <w:spacing w:val="0"/>
          <w:sz w:val="16"/>
          <w:szCs w:val="16"/>
        </w:rPr>
        <w:tab/>
        <w:t>K. Megumi and T. Mamuro, “Radon and Thoron Exhalation from the Ground,” J. Geophys. Res., vol. 78, no. 11, pp. 1804–1808, 2008.</w:t>
      </w:r>
    </w:p>
    <w:p w:rsidR="007D466C" w:rsidRPr="00C56E76" w:rsidRDefault="007D466C" w:rsidP="00C56E76">
      <w:pPr>
        <w:pStyle w:val="ETASRbodytext"/>
        <w:ind w:left="284" w:hanging="426"/>
        <w:rPr>
          <w:rFonts w:eastAsia="SimSun"/>
          <w:spacing w:val="0"/>
          <w:sz w:val="16"/>
          <w:szCs w:val="16"/>
        </w:rPr>
      </w:pPr>
      <w:r w:rsidRPr="00C56E76">
        <w:rPr>
          <w:rFonts w:eastAsia="SimSun"/>
          <w:spacing w:val="0"/>
          <w:sz w:val="16"/>
          <w:szCs w:val="16"/>
        </w:rPr>
        <w:t>[19]</w:t>
      </w:r>
      <w:r w:rsidRPr="00C56E76">
        <w:rPr>
          <w:rFonts w:eastAsia="SimSun"/>
          <w:spacing w:val="0"/>
          <w:sz w:val="16"/>
          <w:szCs w:val="16"/>
        </w:rPr>
        <w:tab/>
        <w:t>M. H. Wilkening, “Deep Soils are More Important than Lava Fields or Volcanoes,” Am. Assoc. Adv. Sci., vol. 183, no. 4123, pp. 413–415, 1974.</w:t>
      </w:r>
    </w:p>
    <w:p w:rsidR="007D466C" w:rsidRPr="00C56E76" w:rsidRDefault="007D466C" w:rsidP="00C56E76">
      <w:pPr>
        <w:pStyle w:val="ETASRbodytext"/>
        <w:ind w:left="284" w:hanging="426"/>
        <w:rPr>
          <w:rFonts w:eastAsia="SimSun"/>
          <w:spacing w:val="0"/>
          <w:sz w:val="16"/>
          <w:szCs w:val="16"/>
        </w:rPr>
      </w:pPr>
      <w:r w:rsidRPr="00C56E76">
        <w:rPr>
          <w:rFonts w:eastAsia="SimSun"/>
          <w:spacing w:val="0"/>
          <w:sz w:val="16"/>
          <w:szCs w:val="16"/>
        </w:rPr>
        <w:t>[20]</w:t>
      </w:r>
      <w:r w:rsidRPr="00C56E76">
        <w:rPr>
          <w:rFonts w:eastAsia="SimSun"/>
          <w:spacing w:val="0"/>
          <w:sz w:val="16"/>
          <w:szCs w:val="16"/>
        </w:rPr>
        <w:tab/>
        <w:t>N. M. HASSAN et al., “Simultaneous Measurement of Radon and Thoron Released from Building Materials used in Japan,” Prog. Nucl. Sci. Technol., vol. 1, no. 0, pp. 404–407, 2015.</w:t>
      </w:r>
    </w:p>
    <w:p w:rsidR="007D466C" w:rsidRPr="00C56E76" w:rsidRDefault="007D466C" w:rsidP="00C56E76">
      <w:pPr>
        <w:pStyle w:val="ETASRbodytext"/>
        <w:ind w:left="284" w:hanging="426"/>
        <w:rPr>
          <w:rFonts w:eastAsia="SimSun"/>
          <w:spacing w:val="0"/>
          <w:sz w:val="16"/>
          <w:szCs w:val="16"/>
        </w:rPr>
      </w:pPr>
      <w:r w:rsidRPr="00C56E76">
        <w:rPr>
          <w:rFonts w:eastAsia="SimSun"/>
          <w:spacing w:val="0"/>
          <w:sz w:val="16"/>
          <w:szCs w:val="16"/>
        </w:rPr>
        <w:t>[21]</w:t>
      </w:r>
      <w:r w:rsidRPr="00C56E76">
        <w:rPr>
          <w:rFonts w:eastAsia="SimSun"/>
          <w:spacing w:val="0"/>
          <w:sz w:val="16"/>
          <w:szCs w:val="16"/>
        </w:rPr>
        <w:tab/>
        <w:t>M. Keller, G and Schutz, “Radon Exhalation from the Soil,” Radiat. Prot. Dosimetry, vol. 24, no. 1–4, pp. 43--46, 1988.</w:t>
      </w:r>
    </w:p>
    <w:p w:rsidR="007D466C" w:rsidRPr="00C56E76" w:rsidRDefault="007D466C" w:rsidP="00C56E76">
      <w:pPr>
        <w:pStyle w:val="ETASRbodytext"/>
        <w:ind w:left="284" w:hanging="426"/>
        <w:rPr>
          <w:rFonts w:eastAsia="SimSun"/>
          <w:spacing w:val="0"/>
          <w:sz w:val="16"/>
          <w:szCs w:val="16"/>
        </w:rPr>
      </w:pPr>
      <w:r w:rsidRPr="00C56E76">
        <w:rPr>
          <w:rFonts w:eastAsia="SimSun"/>
          <w:spacing w:val="0"/>
          <w:sz w:val="16"/>
          <w:szCs w:val="16"/>
        </w:rPr>
        <w:t>[22]</w:t>
      </w:r>
      <w:r w:rsidRPr="00C56E76">
        <w:rPr>
          <w:rFonts w:eastAsia="SimSun"/>
          <w:spacing w:val="0"/>
          <w:sz w:val="16"/>
          <w:szCs w:val="16"/>
        </w:rPr>
        <w:tab/>
        <w:t>G. Immé, R. Catalano, G. Mangano, and D. Morelli, “Radon Exhalation Measurements for Environmental and Geophysics Study,” Radiat. Phys. Chem., vol. 95, pp. 349–351, 2014.</w:t>
      </w:r>
    </w:p>
    <w:p w:rsidR="007D466C" w:rsidRPr="00C56E76" w:rsidRDefault="007D466C" w:rsidP="00C56E76">
      <w:pPr>
        <w:pStyle w:val="ETASRbodytext"/>
        <w:ind w:left="284" w:hanging="426"/>
        <w:rPr>
          <w:rFonts w:eastAsia="SimSun"/>
          <w:spacing w:val="0"/>
          <w:sz w:val="16"/>
          <w:szCs w:val="16"/>
        </w:rPr>
      </w:pPr>
      <w:r w:rsidRPr="00C56E76">
        <w:rPr>
          <w:rFonts w:eastAsia="SimSun"/>
          <w:spacing w:val="0"/>
          <w:sz w:val="16"/>
          <w:szCs w:val="16"/>
        </w:rPr>
        <w:t>[23]</w:t>
      </w:r>
      <w:r w:rsidRPr="00C56E76">
        <w:rPr>
          <w:rFonts w:eastAsia="SimSun"/>
          <w:spacing w:val="0"/>
          <w:sz w:val="16"/>
          <w:szCs w:val="16"/>
        </w:rPr>
        <w:tab/>
        <w:t>S. A. Amin, A. H. Al-Obiady, and A. Alwan, “Radon Level Measurements in Soil and Sediments at Oil Field Area and Its Impact on the Environment,” Eng. Technol. J. Part B Technol. J. Part B, vol. 35, no. 1, pp. 1–7, 2017.</w:t>
      </w:r>
    </w:p>
    <w:p w:rsidR="007D31B3" w:rsidRPr="00C56E76" w:rsidRDefault="007D466C" w:rsidP="00C56E76">
      <w:pPr>
        <w:pStyle w:val="ETASRbodytext"/>
        <w:ind w:left="284" w:hanging="426"/>
        <w:rPr>
          <w:rFonts w:eastAsia="SimSun"/>
          <w:spacing w:val="0"/>
          <w:sz w:val="16"/>
          <w:szCs w:val="16"/>
        </w:rPr>
      </w:pPr>
      <w:r w:rsidRPr="00C56E76">
        <w:rPr>
          <w:rFonts w:eastAsia="SimSun"/>
          <w:spacing w:val="0"/>
          <w:sz w:val="16"/>
          <w:szCs w:val="16"/>
        </w:rPr>
        <w:t>[24]</w:t>
      </w:r>
      <w:r w:rsidRPr="00C56E76">
        <w:rPr>
          <w:rFonts w:eastAsia="SimSun"/>
          <w:spacing w:val="0"/>
          <w:sz w:val="16"/>
          <w:szCs w:val="16"/>
        </w:rPr>
        <w:tab/>
        <w:t>A. F. Hafez, A. S. Hussein, and N. M. Rasheed, “A Study of Radon and Thoron Release From Egyptian Building Materials using Polymeric Nuclear Track Detectors,” Appl. Radiat. Isot., vol. 54, no. 2, pp. 291–298, 2001.</w:t>
      </w:r>
    </w:p>
    <w:p w:rsidR="007D466C" w:rsidRPr="00C06967" w:rsidRDefault="007D466C" w:rsidP="00B11034">
      <w:pPr>
        <w:pStyle w:val="ETASRbodytext"/>
        <w:ind w:firstLine="0"/>
      </w:pPr>
    </w:p>
    <w:p w:rsidR="007D466C" w:rsidRPr="00C06967" w:rsidRDefault="00D43566" w:rsidP="00B11034">
      <w:pPr>
        <w:pStyle w:val="ETASRbodytext"/>
        <w:ind w:firstLine="0"/>
        <w:sectPr w:rsidR="007D466C" w:rsidRPr="00C06967" w:rsidSect="003A01B0">
          <w:type w:val="continuous"/>
          <w:pgSz w:w="12240" w:h="15840"/>
          <w:pgMar w:top="1004" w:right="1004" w:bottom="1004" w:left="1004" w:header="567" w:footer="567" w:gutter="0"/>
          <w:cols w:num="2" w:space="720"/>
          <w:docGrid w:linePitch="360"/>
        </w:sectPr>
      </w:pPr>
      <w:r w:rsidRPr="00C06967">
        <w:fldChar w:fldCharType="end"/>
      </w:r>
    </w:p>
    <w:p w:rsidR="00C52F11" w:rsidRPr="0049138F" w:rsidRDefault="00C52F11" w:rsidP="00B11034">
      <w:pPr>
        <w:pStyle w:val="ETASRbodytext"/>
        <w:ind w:firstLine="0"/>
      </w:pPr>
    </w:p>
    <w:sectPr w:rsidR="00C52F11" w:rsidRPr="0049138F" w:rsidSect="0079728D">
      <w:type w:val="continuous"/>
      <w:pgSz w:w="12240" w:h="15840" w:code="1"/>
      <w:pgMar w:top="1080" w:right="893" w:bottom="1440" w:left="893" w:header="720" w:footer="720" w:gutter="0"/>
      <w:cols w:num="2" w:space="36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A0C" w:rsidRDefault="00763A0C">
      <w:r>
        <w:separator/>
      </w:r>
    </w:p>
  </w:endnote>
  <w:endnote w:type="continuationSeparator" w:id="0">
    <w:p w:rsidR="00763A0C" w:rsidRDefault="00763A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TE2t00">
    <w:altName w:val="Times New Roman"/>
    <w:panose1 w:val="00000000000000000000"/>
    <w:charset w:val="00"/>
    <w:family w:val="auto"/>
    <w:notTrueType/>
    <w:pitch w:val="default"/>
    <w:sig w:usb0="00000003" w:usb1="00000000" w:usb2="00000000" w:usb3="00000000" w:csb0="00000001" w:csb1="00000000"/>
  </w:font>
  <w:font w:name="SymbolPS">
    <w:panose1 w:val="050501020106070206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371"/>
      <w:docPartObj>
        <w:docPartGallery w:val="Page Numbers (Bottom of Page)"/>
        <w:docPartUnique/>
      </w:docPartObj>
    </w:sdtPr>
    <w:sdtContent>
      <w:p w:rsidR="00FD4153" w:rsidRDefault="00FD4153">
        <w:pPr>
          <w:pStyle w:val="Footer"/>
        </w:pPr>
      </w:p>
      <w:tbl>
        <w:tblPr>
          <w:tblW w:w="0" w:type="auto"/>
          <w:tblBorders>
            <w:top w:val="single" w:sz="4" w:space="0" w:color="auto"/>
          </w:tblBorders>
          <w:tblLook w:val="01E0"/>
        </w:tblPr>
        <w:tblGrid>
          <w:gridCol w:w="2242"/>
          <w:gridCol w:w="8206"/>
        </w:tblGrid>
        <w:tr w:rsidR="00FD4153" w:rsidTr="00FD4153">
          <w:tc>
            <w:tcPr>
              <w:tcW w:w="2268" w:type="dxa"/>
              <w:tcBorders>
                <w:top w:val="single" w:sz="4" w:space="0" w:color="auto"/>
                <w:left w:val="nil"/>
                <w:bottom w:val="nil"/>
                <w:right w:val="nil"/>
              </w:tcBorders>
              <w:hideMark/>
            </w:tcPr>
            <w:p w:rsidR="00FD4153" w:rsidRDefault="00FD4153">
              <w:pPr>
                <w:pStyle w:val="Footer"/>
                <w:ind w:firstLine="198"/>
                <w:rPr>
                  <w:rFonts w:eastAsia="Times New Roman"/>
                  <w:b/>
                  <w:i/>
                  <w:sz w:val="18"/>
                  <w:szCs w:val="18"/>
                  <w:lang w:val="el-GR" w:eastAsia="el-GR"/>
                </w:rPr>
              </w:pPr>
              <w:r>
                <w:rPr>
                  <w:rFonts w:eastAsia="Times New Roman"/>
                  <w:b/>
                  <w:i/>
                  <w:sz w:val="18"/>
                  <w:szCs w:val="18"/>
                  <w:lang w:val="el-GR" w:eastAsia="el-GR"/>
                </w:rPr>
                <w:t>www.etasr.com</w:t>
              </w:r>
            </w:p>
          </w:tc>
          <w:tc>
            <w:tcPr>
              <w:tcW w:w="8402" w:type="dxa"/>
              <w:tcBorders>
                <w:top w:val="single" w:sz="4" w:space="0" w:color="auto"/>
                <w:left w:val="nil"/>
                <w:bottom w:val="nil"/>
                <w:right w:val="nil"/>
              </w:tcBorders>
              <w:hideMark/>
            </w:tcPr>
            <w:p w:rsidR="00FD4153" w:rsidRDefault="00FD4153">
              <w:pPr>
                <w:pStyle w:val="Footer"/>
                <w:ind w:firstLine="198"/>
                <w:jc w:val="right"/>
                <w:rPr>
                  <w:rFonts w:eastAsia="Times New Roman"/>
                  <w:b/>
                  <w:i/>
                  <w:sz w:val="18"/>
                  <w:szCs w:val="18"/>
                  <w:lang w:val="el-GR" w:eastAsia="el-GR"/>
                </w:rPr>
              </w:pPr>
              <w:r>
                <w:rPr>
                  <w:rFonts w:eastAsia="Times New Roman"/>
                  <w:b/>
                  <w:i/>
                  <w:sz w:val="18"/>
                  <w:szCs w:val="18"/>
                  <w:lang w:val="el-GR" w:eastAsia="el-GR"/>
                </w:rPr>
                <w:t>DO NOT ALTER HEADER &amp; FOOTER. THEY WILL BE COMPLETED DURING EDITING</w:t>
              </w:r>
            </w:p>
          </w:tc>
        </w:tr>
      </w:tbl>
      <w:p w:rsidR="00813038" w:rsidRDefault="00D43566" w:rsidP="00FD4153">
        <w:pPr>
          <w:pStyle w:val="Footer"/>
          <w:jc w:val="both"/>
        </w:pPr>
      </w:p>
    </w:sdtContent>
  </w:sdt>
  <w:p w:rsidR="00813038" w:rsidRDefault="008130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1E0"/>
    </w:tblPr>
    <w:tblGrid>
      <w:gridCol w:w="2268"/>
      <w:gridCol w:w="8402"/>
    </w:tblGrid>
    <w:tr w:rsidR="00813038" w:rsidTr="00F645F8">
      <w:tc>
        <w:tcPr>
          <w:tcW w:w="2268" w:type="dxa"/>
          <w:shd w:val="clear" w:color="auto" w:fill="auto"/>
        </w:tcPr>
        <w:p w:rsidR="00813038" w:rsidRPr="00F645F8" w:rsidRDefault="00813038" w:rsidP="00F645F8">
          <w:pPr>
            <w:pStyle w:val="Footer"/>
            <w:ind w:firstLine="198"/>
            <w:rPr>
              <w:rFonts w:eastAsia="Times New Roman"/>
              <w:b/>
              <w:i/>
              <w:sz w:val="18"/>
              <w:szCs w:val="18"/>
            </w:rPr>
          </w:pPr>
          <w:r w:rsidRPr="00F645F8">
            <w:rPr>
              <w:rFonts w:eastAsia="Times New Roman"/>
              <w:b/>
              <w:i/>
              <w:sz w:val="18"/>
              <w:szCs w:val="18"/>
            </w:rPr>
            <w:t>www.etasr.com</w:t>
          </w:r>
        </w:p>
      </w:tc>
      <w:tc>
        <w:tcPr>
          <w:tcW w:w="8402" w:type="dxa"/>
          <w:shd w:val="clear" w:color="auto" w:fill="auto"/>
        </w:tcPr>
        <w:p w:rsidR="00813038" w:rsidRPr="00F645F8" w:rsidRDefault="00813038" w:rsidP="00E50730">
          <w:pPr>
            <w:pStyle w:val="Footer"/>
            <w:ind w:firstLine="198"/>
            <w:jc w:val="right"/>
            <w:rPr>
              <w:rFonts w:eastAsia="Times New Roman"/>
              <w:b/>
              <w:i/>
              <w:sz w:val="18"/>
              <w:szCs w:val="18"/>
            </w:rPr>
          </w:pPr>
          <w:r w:rsidRPr="00F645F8">
            <w:rPr>
              <w:rFonts w:eastAsia="Times New Roman"/>
              <w:b/>
              <w:i/>
              <w:sz w:val="18"/>
              <w:szCs w:val="18"/>
            </w:rPr>
            <w:t>DO NOT ALTER HEADER &amp; FOOTER. THEY WILL BE COMPLETED DURING EDITING</w:t>
          </w:r>
        </w:p>
      </w:tc>
    </w:tr>
  </w:tbl>
  <w:p w:rsidR="00813038" w:rsidRDefault="008130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A0C" w:rsidRDefault="00763A0C">
      <w:r>
        <w:separator/>
      </w:r>
    </w:p>
  </w:footnote>
  <w:footnote w:type="continuationSeparator" w:id="0">
    <w:p w:rsidR="00763A0C" w:rsidRDefault="00763A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68" w:type="dxa"/>
      <w:tblBorders>
        <w:bottom w:val="single" w:sz="4" w:space="0" w:color="auto"/>
      </w:tblBorders>
      <w:tblLook w:val="01E0"/>
    </w:tblPr>
    <w:tblGrid>
      <w:gridCol w:w="5328"/>
      <w:gridCol w:w="2860"/>
      <w:gridCol w:w="2880"/>
    </w:tblGrid>
    <w:tr w:rsidR="00984344" w:rsidRPr="00F645F8" w:rsidTr="00983C6D">
      <w:tc>
        <w:tcPr>
          <w:tcW w:w="5328" w:type="dxa"/>
          <w:shd w:val="clear" w:color="auto" w:fill="auto"/>
        </w:tcPr>
        <w:p w:rsidR="00984344" w:rsidRPr="00F645F8" w:rsidRDefault="00984344" w:rsidP="00983C6D">
          <w:pPr>
            <w:pStyle w:val="Header"/>
            <w:rPr>
              <w:rFonts w:eastAsia="Times New Roman"/>
              <w:sz w:val="16"/>
              <w:szCs w:val="16"/>
            </w:rPr>
          </w:pPr>
          <w:r w:rsidRPr="00F645F8">
            <w:rPr>
              <w:rFonts w:eastAsia="Times New Roman"/>
              <w:b/>
              <w:i/>
              <w:sz w:val="18"/>
              <w:szCs w:val="18"/>
            </w:rPr>
            <w:t>Engineering, Technology &amp; Applied Science Research</w:t>
          </w:r>
        </w:p>
      </w:tc>
      <w:tc>
        <w:tcPr>
          <w:tcW w:w="2860" w:type="dxa"/>
          <w:shd w:val="clear" w:color="auto" w:fill="auto"/>
        </w:tcPr>
        <w:p w:rsidR="00984344" w:rsidRPr="00F645F8" w:rsidRDefault="00984344" w:rsidP="00983C6D">
          <w:pPr>
            <w:pStyle w:val="Header"/>
            <w:ind w:firstLine="198"/>
            <w:rPr>
              <w:rFonts w:eastAsia="Times New Roman"/>
              <w:sz w:val="16"/>
              <w:szCs w:val="16"/>
            </w:rPr>
          </w:pPr>
          <w:r w:rsidRPr="00F645F8">
            <w:rPr>
              <w:rFonts w:eastAsia="Times New Roman"/>
              <w:b/>
              <w:i/>
              <w:sz w:val="18"/>
              <w:szCs w:val="18"/>
            </w:rPr>
            <w:t xml:space="preserve">Vol. X, No. X, 20XX, </w:t>
          </w:r>
          <w:r>
            <w:rPr>
              <w:rFonts w:eastAsia="Times New Roman"/>
              <w:b/>
              <w:i/>
              <w:sz w:val="18"/>
              <w:szCs w:val="18"/>
            </w:rPr>
            <w:t>pp</w:t>
          </w:r>
        </w:p>
      </w:tc>
      <w:tc>
        <w:tcPr>
          <w:tcW w:w="2880" w:type="dxa"/>
          <w:shd w:val="clear" w:color="auto" w:fill="auto"/>
        </w:tcPr>
        <w:p w:rsidR="00984344" w:rsidRPr="00F645F8" w:rsidRDefault="00D43566" w:rsidP="00983C6D">
          <w:pPr>
            <w:pStyle w:val="Header"/>
            <w:ind w:firstLine="198"/>
            <w:rPr>
              <w:rFonts w:eastAsia="Times New Roman"/>
              <w:sz w:val="16"/>
              <w:szCs w:val="16"/>
            </w:rPr>
          </w:pPr>
          <w:r w:rsidRPr="00F645F8">
            <w:rPr>
              <w:b/>
              <w:sz w:val="22"/>
              <w:szCs w:val="22"/>
            </w:rPr>
            <w:fldChar w:fldCharType="begin"/>
          </w:r>
          <w:r w:rsidR="00984344" w:rsidRPr="00F645F8">
            <w:rPr>
              <w:b/>
              <w:sz w:val="22"/>
              <w:szCs w:val="22"/>
            </w:rPr>
            <w:instrText xml:space="preserve"> PAGE </w:instrText>
          </w:r>
          <w:r w:rsidRPr="00D43566">
            <w:rPr>
              <w:rFonts w:eastAsia="Times New Roman"/>
              <w:b/>
              <w:sz w:val="22"/>
              <w:szCs w:val="22"/>
            </w:rPr>
            <w:fldChar w:fldCharType="separate"/>
          </w:r>
          <w:r w:rsidR="00313098">
            <w:rPr>
              <w:b/>
              <w:noProof/>
              <w:sz w:val="22"/>
              <w:szCs w:val="22"/>
            </w:rPr>
            <w:t>1</w:t>
          </w:r>
          <w:r w:rsidRPr="00F645F8">
            <w:rPr>
              <w:b/>
              <w:sz w:val="22"/>
              <w:szCs w:val="22"/>
            </w:rPr>
            <w:fldChar w:fldCharType="end"/>
          </w:r>
          <w:r w:rsidR="00984344" w:rsidRPr="00F645F8">
            <w:rPr>
              <w:b/>
              <w:sz w:val="22"/>
              <w:szCs w:val="22"/>
            </w:rPr>
            <w:t xml:space="preserve"> </w:t>
          </w:r>
        </w:p>
      </w:tc>
    </w:tr>
  </w:tbl>
  <w:p w:rsidR="00984344" w:rsidRDefault="00984344" w:rsidP="00033C3E">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68" w:type="dxa"/>
      <w:tblBorders>
        <w:bottom w:val="single" w:sz="4" w:space="0" w:color="auto"/>
      </w:tblBorders>
      <w:tblLook w:val="01E0"/>
    </w:tblPr>
    <w:tblGrid>
      <w:gridCol w:w="5328"/>
      <w:gridCol w:w="2860"/>
      <w:gridCol w:w="2880"/>
    </w:tblGrid>
    <w:tr w:rsidR="00813038" w:rsidRPr="00F645F8" w:rsidTr="00F86CE0">
      <w:tc>
        <w:tcPr>
          <w:tcW w:w="5328" w:type="dxa"/>
          <w:shd w:val="clear" w:color="auto" w:fill="auto"/>
        </w:tcPr>
        <w:p w:rsidR="00813038" w:rsidRPr="00F645F8" w:rsidRDefault="00813038" w:rsidP="00E1016B">
          <w:pPr>
            <w:pStyle w:val="Header"/>
            <w:rPr>
              <w:rFonts w:eastAsia="Times New Roman"/>
              <w:sz w:val="16"/>
              <w:szCs w:val="16"/>
            </w:rPr>
          </w:pPr>
          <w:r w:rsidRPr="00F645F8">
            <w:rPr>
              <w:rFonts w:eastAsia="Times New Roman"/>
              <w:b/>
              <w:i/>
              <w:sz w:val="18"/>
              <w:szCs w:val="18"/>
            </w:rPr>
            <w:t>Engineering, Technology &amp; Applied Science Research</w:t>
          </w:r>
        </w:p>
      </w:tc>
      <w:tc>
        <w:tcPr>
          <w:tcW w:w="2860" w:type="dxa"/>
          <w:shd w:val="clear" w:color="auto" w:fill="auto"/>
        </w:tcPr>
        <w:p w:rsidR="00813038" w:rsidRPr="00F645F8" w:rsidRDefault="00813038" w:rsidP="00F86CE0">
          <w:pPr>
            <w:pStyle w:val="Header"/>
            <w:ind w:firstLine="198"/>
            <w:rPr>
              <w:rFonts w:eastAsia="Times New Roman"/>
              <w:sz w:val="16"/>
              <w:szCs w:val="16"/>
            </w:rPr>
          </w:pPr>
          <w:r w:rsidRPr="00F645F8">
            <w:rPr>
              <w:rFonts w:eastAsia="Times New Roman"/>
              <w:b/>
              <w:i/>
              <w:sz w:val="18"/>
              <w:szCs w:val="18"/>
            </w:rPr>
            <w:t xml:space="preserve">Vol. X, No. X, 20XX, </w:t>
          </w:r>
          <w:r>
            <w:rPr>
              <w:rFonts w:eastAsia="Times New Roman"/>
              <w:b/>
              <w:i/>
              <w:sz w:val="18"/>
              <w:szCs w:val="18"/>
            </w:rPr>
            <w:t>pp</w:t>
          </w:r>
        </w:p>
      </w:tc>
      <w:tc>
        <w:tcPr>
          <w:tcW w:w="2880" w:type="dxa"/>
          <w:shd w:val="clear" w:color="auto" w:fill="auto"/>
        </w:tcPr>
        <w:p w:rsidR="00813038" w:rsidRPr="00F645F8" w:rsidRDefault="00D43566" w:rsidP="00F645F8">
          <w:pPr>
            <w:pStyle w:val="Header"/>
            <w:ind w:firstLine="198"/>
            <w:rPr>
              <w:rFonts w:eastAsia="Times New Roman"/>
              <w:sz w:val="16"/>
              <w:szCs w:val="16"/>
            </w:rPr>
          </w:pPr>
          <w:r w:rsidRPr="00F645F8">
            <w:rPr>
              <w:b/>
              <w:sz w:val="22"/>
              <w:szCs w:val="22"/>
            </w:rPr>
            <w:fldChar w:fldCharType="begin"/>
          </w:r>
          <w:r w:rsidR="00813038" w:rsidRPr="00F645F8">
            <w:rPr>
              <w:b/>
              <w:sz w:val="22"/>
              <w:szCs w:val="22"/>
            </w:rPr>
            <w:instrText xml:space="preserve"> PAGE </w:instrText>
          </w:r>
          <w:r w:rsidRPr="00D43566">
            <w:rPr>
              <w:rFonts w:eastAsia="Times New Roman"/>
              <w:b/>
              <w:sz w:val="22"/>
              <w:szCs w:val="22"/>
            </w:rPr>
            <w:fldChar w:fldCharType="separate"/>
          </w:r>
          <w:r w:rsidR="009347B8">
            <w:rPr>
              <w:b/>
              <w:noProof/>
              <w:sz w:val="22"/>
              <w:szCs w:val="22"/>
            </w:rPr>
            <w:t>5</w:t>
          </w:r>
          <w:r w:rsidRPr="00F645F8">
            <w:rPr>
              <w:b/>
              <w:sz w:val="22"/>
              <w:szCs w:val="22"/>
            </w:rPr>
            <w:fldChar w:fldCharType="end"/>
          </w:r>
          <w:r w:rsidR="00813038" w:rsidRPr="00F645F8">
            <w:rPr>
              <w:b/>
              <w:sz w:val="22"/>
              <w:szCs w:val="22"/>
            </w:rPr>
            <w:t xml:space="preserve"> </w:t>
          </w:r>
        </w:p>
      </w:tc>
    </w:tr>
  </w:tbl>
  <w:p w:rsidR="00813038" w:rsidRPr="00BF6CC6" w:rsidRDefault="00813038" w:rsidP="008A20E8">
    <w:pPr>
      <w:pStyle w:val="Header"/>
      <w:jc w:val="both"/>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E1FCF"/>
    <w:multiLevelType w:val="hybridMultilevel"/>
    <w:tmpl w:val="33826962"/>
    <w:lvl w:ilvl="0" w:tplc="0409000F">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ED97EB3"/>
    <w:multiLevelType w:val="hybridMultilevel"/>
    <w:tmpl w:val="6BC855E0"/>
    <w:lvl w:ilvl="0" w:tplc="0409000F">
      <w:start w:val="1"/>
      <w:numFmt w:val="upperRoman"/>
      <w:lvlText w:val="%1."/>
      <w:lvlJc w:val="righ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660336"/>
    <w:multiLevelType w:val="hybridMultilevel"/>
    <w:tmpl w:val="B3E2663C"/>
    <w:lvl w:ilvl="0" w:tplc="CED2E166">
      <w:start w:val="1"/>
      <w:numFmt w:val="bullet"/>
      <w:pStyle w:val="ETASRbulletlist"/>
      <w:lvlText w:val=""/>
      <w:lvlJc w:val="left"/>
      <w:pPr>
        <w:tabs>
          <w:tab w:val="num" w:pos="648"/>
        </w:tabs>
        <w:ind w:left="648"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
    <w:nsid w:val="4189603E"/>
    <w:multiLevelType w:val="multilevel"/>
    <w:tmpl w:val="8452DD60"/>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216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52CA544A"/>
    <w:multiLevelType w:val="singleLevel"/>
    <w:tmpl w:val="90E641EA"/>
    <w:lvl w:ilvl="0">
      <w:start w:val="1"/>
      <w:numFmt w:val="decimal"/>
      <w:pStyle w:val="ETASR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nsid w:val="6C402C58"/>
    <w:multiLevelType w:val="hybridMultilevel"/>
    <w:tmpl w:val="03F2A2BE"/>
    <w:lvl w:ilvl="0" w:tplc="0409000F">
      <w:start w:val="1"/>
      <w:numFmt w:val="decimal"/>
      <w:pStyle w:val="ETASRfigurecaption"/>
      <w:lvlText w:val="Fig. %1. "/>
      <w:lvlJc w:val="left"/>
      <w:pPr>
        <w:tabs>
          <w:tab w:val="num" w:pos="720"/>
        </w:tabs>
        <w:ind w:left="0" w:firstLine="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F8C114F"/>
    <w:multiLevelType w:val="hybridMultilevel"/>
    <w:tmpl w:val="8BFA7704"/>
    <w:lvl w:ilvl="0" w:tplc="A468BB00">
      <w:start w:val="1"/>
      <w:numFmt w:val="upperRoman"/>
      <w:pStyle w:val="ETASRtablehead"/>
      <w:lvlText w:val="TABLE %1. "/>
      <w:lvlJc w:val="left"/>
      <w:pPr>
        <w:ind w:left="720" w:hanging="360"/>
      </w:pPr>
      <w:rPr>
        <w:rFonts w:ascii="Times New Roman" w:hAnsi="Times New Roman" w:cs="Times New Roman" w:hint="default"/>
        <w:b w:val="0"/>
        <w:bCs w:val="0"/>
        <w:i w:val="0"/>
        <w:iCs w:val="0"/>
        <w:sz w:val="16"/>
        <w:szCs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3"/>
  </w:num>
  <w:num w:numId="6">
    <w:abstractNumId w:val="3"/>
  </w:num>
  <w:num w:numId="7">
    <w:abstractNumId w:val="3"/>
  </w:num>
  <w:num w:numId="8">
    <w:abstractNumId w:val="4"/>
  </w:num>
  <w:num w:numId="9">
    <w:abstractNumId w:val="6"/>
  </w:num>
  <w:num w:numId="10">
    <w:abstractNumId w:val="1"/>
  </w:num>
  <w:num w:numId="11">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grammar="clean"/>
  <w:attachedTemplate r:id="rId1"/>
  <w:stylePaneFormatFilter w:val="3F01"/>
  <w:defaultTabStop w:val="720"/>
  <w:doNotHyphenateCaps/>
  <w:characterSpacingControl w:val="doNotCompress"/>
  <w:hdrShapeDefaults>
    <o:shapedefaults v:ext="edit" spidmax="23554"/>
  </w:hdrShapeDefaults>
  <w:footnotePr>
    <w:footnote w:id="-1"/>
    <w:footnote w:id="0"/>
  </w:footnotePr>
  <w:endnotePr>
    <w:endnote w:id="-1"/>
    <w:endnote w:id="0"/>
  </w:endnotePr>
  <w:compat>
    <w:useFELayout/>
  </w:compat>
  <w:rsids>
    <w:rsidRoot w:val="00C52F11"/>
    <w:rsid w:val="00017A6C"/>
    <w:rsid w:val="00033C3E"/>
    <w:rsid w:val="00044F62"/>
    <w:rsid w:val="0005069E"/>
    <w:rsid w:val="00057168"/>
    <w:rsid w:val="000747DF"/>
    <w:rsid w:val="0008397E"/>
    <w:rsid w:val="00087491"/>
    <w:rsid w:val="000A0FC5"/>
    <w:rsid w:val="000B1140"/>
    <w:rsid w:val="000B2C93"/>
    <w:rsid w:val="000C5BAB"/>
    <w:rsid w:val="000D5B57"/>
    <w:rsid w:val="000E3A1E"/>
    <w:rsid w:val="000E6B3F"/>
    <w:rsid w:val="000F2BC9"/>
    <w:rsid w:val="001016D6"/>
    <w:rsid w:val="00111341"/>
    <w:rsid w:val="0012729D"/>
    <w:rsid w:val="00140DA6"/>
    <w:rsid w:val="00150192"/>
    <w:rsid w:val="00157777"/>
    <w:rsid w:val="0017004D"/>
    <w:rsid w:val="001821D8"/>
    <w:rsid w:val="001B549E"/>
    <w:rsid w:val="001C7B62"/>
    <w:rsid w:val="001D0620"/>
    <w:rsid w:val="001E3459"/>
    <w:rsid w:val="001E412A"/>
    <w:rsid w:val="001E4B70"/>
    <w:rsid w:val="00200993"/>
    <w:rsid w:val="00204A81"/>
    <w:rsid w:val="0023277A"/>
    <w:rsid w:val="002353F9"/>
    <w:rsid w:val="0024088F"/>
    <w:rsid w:val="002627D2"/>
    <w:rsid w:val="00274CA7"/>
    <w:rsid w:val="002A2464"/>
    <w:rsid w:val="002A49D0"/>
    <w:rsid w:val="002B20B3"/>
    <w:rsid w:val="002B2E32"/>
    <w:rsid w:val="002B6584"/>
    <w:rsid w:val="002E401F"/>
    <w:rsid w:val="00302385"/>
    <w:rsid w:val="003041DB"/>
    <w:rsid w:val="003067C3"/>
    <w:rsid w:val="00306F73"/>
    <w:rsid w:val="00313098"/>
    <w:rsid w:val="003142FE"/>
    <w:rsid w:val="00324960"/>
    <w:rsid w:val="00331071"/>
    <w:rsid w:val="00343A60"/>
    <w:rsid w:val="00363879"/>
    <w:rsid w:val="00364EFB"/>
    <w:rsid w:val="0037079D"/>
    <w:rsid w:val="00374D02"/>
    <w:rsid w:val="003A01B0"/>
    <w:rsid w:val="003F174E"/>
    <w:rsid w:val="003F3897"/>
    <w:rsid w:val="00407CDC"/>
    <w:rsid w:val="004228C5"/>
    <w:rsid w:val="00422A6F"/>
    <w:rsid w:val="00445C51"/>
    <w:rsid w:val="004803CC"/>
    <w:rsid w:val="0049138F"/>
    <w:rsid w:val="004B31C9"/>
    <w:rsid w:val="004C5814"/>
    <w:rsid w:val="004D2031"/>
    <w:rsid w:val="00505DD3"/>
    <w:rsid w:val="00512D12"/>
    <w:rsid w:val="005347B3"/>
    <w:rsid w:val="00535270"/>
    <w:rsid w:val="00535FA0"/>
    <w:rsid w:val="00541A3B"/>
    <w:rsid w:val="00553173"/>
    <w:rsid w:val="00555D68"/>
    <w:rsid w:val="005739B1"/>
    <w:rsid w:val="00590FD2"/>
    <w:rsid w:val="00593043"/>
    <w:rsid w:val="005B1273"/>
    <w:rsid w:val="005D7820"/>
    <w:rsid w:val="0060024D"/>
    <w:rsid w:val="006005E1"/>
    <w:rsid w:val="0060256D"/>
    <w:rsid w:val="00614BFB"/>
    <w:rsid w:val="00620547"/>
    <w:rsid w:val="0062097D"/>
    <w:rsid w:val="00622881"/>
    <w:rsid w:val="00623684"/>
    <w:rsid w:val="00631CE4"/>
    <w:rsid w:val="00640905"/>
    <w:rsid w:val="00645910"/>
    <w:rsid w:val="00653024"/>
    <w:rsid w:val="00663AB1"/>
    <w:rsid w:val="00666BB2"/>
    <w:rsid w:val="00667E56"/>
    <w:rsid w:val="006859F4"/>
    <w:rsid w:val="006A4E66"/>
    <w:rsid w:val="006C1D21"/>
    <w:rsid w:val="00712152"/>
    <w:rsid w:val="007239A8"/>
    <w:rsid w:val="00735C54"/>
    <w:rsid w:val="007369DC"/>
    <w:rsid w:val="00736C67"/>
    <w:rsid w:val="00757B2B"/>
    <w:rsid w:val="00763A0C"/>
    <w:rsid w:val="00765B27"/>
    <w:rsid w:val="007721ED"/>
    <w:rsid w:val="007770C1"/>
    <w:rsid w:val="00781738"/>
    <w:rsid w:val="0079728D"/>
    <w:rsid w:val="007A5684"/>
    <w:rsid w:val="007B0236"/>
    <w:rsid w:val="007B0292"/>
    <w:rsid w:val="007D31B3"/>
    <w:rsid w:val="007D466C"/>
    <w:rsid w:val="007D6C50"/>
    <w:rsid w:val="007E0CC1"/>
    <w:rsid w:val="007E1F18"/>
    <w:rsid w:val="007E305B"/>
    <w:rsid w:val="008071EA"/>
    <w:rsid w:val="00813038"/>
    <w:rsid w:val="008240A7"/>
    <w:rsid w:val="008249FB"/>
    <w:rsid w:val="008256DB"/>
    <w:rsid w:val="008532A3"/>
    <w:rsid w:val="00853B60"/>
    <w:rsid w:val="008606F2"/>
    <w:rsid w:val="00877C2C"/>
    <w:rsid w:val="00886371"/>
    <w:rsid w:val="008A20E8"/>
    <w:rsid w:val="008A63D2"/>
    <w:rsid w:val="008B6A23"/>
    <w:rsid w:val="008C2716"/>
    <w:rsid w:val="008D150A"/>
    <w:rsid w:val="008D6C61"/>
    <w:rsid w:val="008F1CFB"/>
    <w:rsid w:val="0091666D"/>
    <w:rsid w:val="00926524"/>
    <w:rsid w:val="00931338"/>
    <w:rsid w:val="009347B8"/>
    <w:rsid w:val="009370C4"/>
    <w:rsid w:val="00947096"/>
    <w:rsid w:val="00954824"/>
    <w:rsid w:val="00961293"/>
    <w:rsid w:val="00961866"/>
    <w:rsid w:val="0097279B"/>
    <w:rsid w:val="00981591"/>
    <w:rsid w:val="0098166C"/>
    <w:rsid w:val="00982563"/>
    <w:rsid w:val="00982611"/>
    <w:rsid w:val="00984344"/>
    <w:rsid w:val="009B2663"/>
    <w:rsid w:val="009C47AD"/>
    <w:rsid w:val="00A02397"/>
    <w:rsid w:val="00A17932"/>
    <w:rsid w:val="00A17E44"/>
    <w:rsid w:val="00A21539"/>
    <w:rsid w:val="00A40A08"/>
    <w:rsid w:val="00A474D3"/>
    <w:rsid w:val="00A5417E"/>
    <w:rsid w:val="00A60463"/>
    <w:rsid w:val="00A75F05"/>
    <w:rsid w:val="00A929DF"/>
    <w:rsid w:val="00AA1EF5"/>
    <w:rsid w:val="00AA7324"/>
    <w:rsid w:val="00AD045B"/>
    <w:rsid w:val="00AE046B"/>
    <w:rsid w:val="00AE7355"/>
    <w:rsid w:val="00AF66B9"/>
    <w:rsid w:val="00B11034"/>
    <w:rsid w:val="00B44F4C"/>
    <w:rsid w:val="00B532CE"/>
    <w:rsid w:val="00B65273"/>
    <w:rsid w:val="00B70014"/>
    <w:rsid w:val="00B72F40"/>
    <w:rsid w:val="00B81171"/>
    <w:rsid w:val="00B944C3"/>
    <w:rsid w:val="00BC1553"/>
    <w:rsid w:val="00BC65F2"/>
    <w:rsid w:val="00BC6D2A"/>
    <w:rsid w:val="00BD6F67"/>
    <w:rsid w:val="00BD70BA"/>
    <w:rsid w:val="00BF1E14"/>
    <w:rsid w:val="00BF6CC6"/>
    <w:rsid w:val="00C107ED"/>
    <w:rsid w:val="00C13F92"/>
    <w:rsid w:val="00C22E2B"/>
    <w:rsid w:val="00C3261C"/>
    <w:rsid w:val="00C4279F"/>
    <w:rsid w:val="00C44D4B"/>
    <w:rsid w:val="00C52F11"/>
    <w:rsid w:val="00C540BF"/>
    <w:rsid w:val="00C56E76"/>
    <w:rsid w:val="00C57E1A"/>
    <w:rsid w:val="00CB6258"/>
    <w:rsid w:val="00CC3304"/>
    <w:rsid w:val="00CE4855"/>
    <w:rsid w:val="00D06F18"/>
    <w:rsid w:val="00D07CB6"/>
    <w:rsid w:val="00D22706"/>
    <w:rsid w:val="00D43566"/>
    <w:rsid w:val="00D44093"/>
    <w:rsid w:val="00D513FC"/>
    <w:rsid w:val="00D52D93"/>
    <w:rsid w:val="00D66DF4"/>
    <w:rsid w:val="00DA7E98"/>
    <w:rsid w:val="00DD6F1D"/>
    <w:rsid w:val="00DE223E"/>
    <w:rsid w:val="00DF0F3D"/>
    <w:rsid w:val="00DF3388"/>
    <w:rsid w:val="00E0081C"/>
    <w:rsid w:val="00E009F5"/>
    <w:rsid w:val="00E07E65"/>
    <w:rsid w:val="00E1016B"/>
    <w:rsid w:val="00E41D0E"/>
    <w:rsid w:val="00E472F8"/>
    <w:rsid w:val="00E50730"/>
    <w:rsid w:val="00E6764E"/>
    <w:rsid w:val="00E83F74"/>
    <w:rsid w:val="00E97E45"/>
    <w:rsid w:val="00ED27FD"/>
    <w:rsid w:val="00ED385C"/>
    <w:rsid w:val="00ED7C4A"/>
    <w:rsid w:val="00EE0C77"/>
    <w:rsid w:val="00EF044E"/>
    <w:rsid w:val="00F1774B"/>
    <w:rsid w:val="00F22930"/>
    <w:rsid w:val="00F51311"/>
    <w:rsid w:val="00F645F8"/>
    <w:rsid w:val="00F80944"/>
    <w:rsid w:val="00F86CE0"/>
    <w:rsid w:val="00FA20AC"/>
    <w:rsid w:val="00FC4366"/>
    <w:rsid w:val="00FD1228"/>
    <w:rsid w:val="00FD25E9"/>
    <w:rsid w:val="00FD4153"/>
    <w:rsid w:val="00FE0EEA"/>
    <w:rsid w:val="00FE501C"/>
    <w:rsid w:val="00FF0DC4"/>
    <w:rsid w:val="00FF1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905"/>
    <w:pPr>
      <w:jc w:val="center"/>
    </w:pPr>
    <w:rPr>
      <w:lang w:val="en-US" w:eastAsia="en-US"/>
    </w:rPr>
  </w:style>
  <w:style w:type="paragraph" w:styleId="Heading1">
    <w:name w:val="heading 1"/>
    <w:basedOn w:val="Normal"/>
    <w:next w:val="Normal"/>
    <w:qFormat/>
    <w:rsid w:val="004228C5"/>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4228C5"/>
    <w:pPr>
      <w:keepNext/>
      <w:keepLines/>
      <w:numPr>
        <w:ilvl w:val="1"/>
        <w:numId w:val="5"/>
      </w:numPr>
      <w:spacing w:before="120" w:after="60"/>
      <w:jc w:val="left"/>
      <w:outlineLvl w:val="1"/>
    </w:pPr>
    <w:rPr>
      <w:i/>
      <w:iCs/>
      <w:noProof/>
    </w:rPr>
  </w:style>
  <w:style w:type="paragraph" w:styleId="Heading3">
    <w:name w:val="heading 3"/>
    <w:basedOn w:val="Normal"/>
    <w:next w:val="Normal"/>
    <w:link w:val="Heading3Char"/>
    <w:qFormat/>
    <w:rsid w:val="004228C5"/>
    <w:pPr>
      <w:numPr>
        <w:ilvl w:val="2"/>
        <w:numId w:val="6"/>
      </w:numPr>
      <w:spacing w:line="240" w:lineRule="exact"/>
      <w:jc w:val="both"/>
      <w:outlineLvl w:val="2"/>
    </w:pPr>
    <w:rPr>
      <w:i/>
      <w:iCs/>
      <w:noProof/>
    </w:rPr>
  </w:style>
  <w:style w:type="paragraph" w:styleId="Heading4">
    <w:name w:val="heading 4"/>
    <w:basedOn w:val="Normal"/>
    <w:next w:val="Normal"/>
    <w:link w:val="Heading4Char"/>
    <w:qFormat/>
    <w:rsid w:val="004228C5"/>
    <w:pPr>
      <w:numPr>
        <w:ilvl w:val="3"/>
        <w:numId w:val="7"/>
      </w:numPr>
      <w:spacing w:before="40" w:after="40"/>
      <w:jc w:val="both"/>
      <w:outlineLvl w:val="3"/>
    </w:pPr>
    <w:rPr>
      <w:i/>
      <w:iCs/>
      <w:noProof/>
    </w:rPr>
  </w:style>
  <w:style w:type="paragraph" w:styleId="Heading5">
    <w:name w:val="heading 5"/>
    <w:basedOn w:val="Normal"/>
    <w:next w:val="Normal"/>
    <w:link w:val="Heading5Char"/>
    <w:qFormat/>
    <w:rsid w:val="004228C5"/>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TASRAuthor">
    <w:name w:val="ETASR Author"/>
    <w:basedOn w:val="Normal"/>
    <w:rsid w:val="00666BB2"/>
    <w:pPr>
      <w:spacing w:before="360" w:after="40"/>
    </w:pPr>
    <w:rPr>
      <w:rFonts w:eastAsia="MS Mincho"/>
      <w:noProof/>
      <w:sz w:val="22"/>
      <w:szCs w:val="22"/>
    </w:rPr>
  </w:style>
  <w:style w:type="paragraph" w:customStyle="1" w:styleId="ETASRHeading1">
    <w:name w:val="ETASR Heading 1"/>
    <w:basedOn w:val="Heading1"/>
    <w:rsid w:val="00666BB2"/>
    <w:rPr>
      <w:rFonts w:eastAsia="MS Mincho"/>
    </w:rPr>
  </w:style>
  <w:style w:type="paragraph" w:customStyle="1" w:styleId="ETASRsponsors">
    <w:name w:val="ETASR sponsors"/>
    <w:basedOn w:val="Normal"/>
    <w:rsid w:val="00653024"/>
    <w:pPr>
      <w:framePr w:wrap="auto" w:vAnchor="page" w:hAnchor="page" w:x="894" w:y="14401"/>
      <w:pBdr>
        <w:top w:val="single" w:sz="4" w:space="2" w:color="auto"/>
      </w:pBdr>
      <w:ind w:firstLine="288"/>
      <w:jc w:val="left"/>
    </w:pPr>
    <w:rPr>
      <w:rFonts w:eastAsia="MS Mincho"/>
      <w:sz w:val="16"/>
      <w:szCs w:val="16"/>
    </w:rPr>
  </w:style>
  <w:style w:type="paragraph" w:customStyle="1" w:styleId="ETASRAffiliation">
    <w:name w:val="ETASR Affiliation"/>
    <w:basedOn w:val="Normal"/>
    <w:rsid w:val="00666BB2"/>
    <w:rPr>
      <w:rFonts w:eastAsia="MS Mincho"/>
    </w:rPr>
  </w:style>
  <w:style w:type="paragraph" w:customStyle="1" w:styleId="ETASRHeading2">
    <w:name w:val="ETASR Heading 2"/>
    <w:basedOn w:val="Heading2"/>
    <w:autoRedefine/>
    <w:rsid w:val="00A17932"/>
    <w:rPr>
      <w:rFonts w:eastAsia="MS Mincho"/>
    </w:rPr>
  </w:style>
  <w:style w:type="paragraph" w:customStyle="1" w:styleId="equation">
    <w:name w:val="equation"/>
    <w:basedOn w:val="Normal"/>
    <w:rsid w:val="004228C5"/>
    <w:pPr>
      <w:tabs>
        <w:tab w:val="center" w:pos="2520"/>
        <w:tab w:val="right" w:pos="5040"/>
      </w:tabs>
      <w:spacing w:before="240" w:after="240" w:line="216" w:lineRule="auto"/>
    </w:pPr>
    <w:rPr>
      <w:rFonts w:ascii="Symbol" w:hAnsi="Symbol" w:cs="Symbol"/>
    </w:rPr>
  </w:style>
  <w:style w:type="paragraph" w:customStyle="1" w:styleId="ETASRkeywords">
    <w:name w:val="ETASR key words"/>
    <w:basedOn w:val="Normal"/>
    <w:rsid w:val="00F1774B"/>
    <w:pPr>
      <w:spacing w:after="120"/>
      <w:ind w:firstLine="288"/>
      <w:jc w:val="both"/>
    </w:pPr>
    <w:rPr>
      <w:rFonts w:eastAsia="MS Mincho"/>
      <w:b/>
      <w:bCs/>
      <w:i/>
      <w:iCs/>
      <w:noProof/>
      <w:sz w:val="18"/>
      <w:szCs w:val="18"/>
    </w:rPr>
  </w:style>
  <w:style w:type="paragraph" w:customStyle="1" w:styleId="footnote">
    <w:name w:val="footnote"/>
    <w:rsid w:val="004228C5"/>
    <w:pPr>
      <w:framePr w:hSpace="187" w:vSpace="187" w:wrap="notBeside" w:vAnchor="text" w:hAnchor="page" w:x="6121" w:y="577"/>
      <w:numPr>
        <w:numId w:val="3"/>
      </w:numPr>
      <w:spacing w:after="40"/>
    </w:pPr>
    <w:rPr>
      <w:sz w:val="16"/>
      <w:szCs w:val="16"/>
      <w:lang w:val="en-US" w:eastAsia="en-US"/>
    </w:rPr>
  </w:style>
  <w:style w:type="paragraph" w:customStyle="1" w:styleId="ETASRHeading3">
    <w:name w:val="ETASR Heading 3"/>
    <w:basedOn w:val="Heading3"/>
    <w:link w:val="ETASRHeading3Char"/>
    <w:autoRedefine/>
    <w:qFormat/>
    <w:rsid w:val="00E6764E"/>
    <w:pPr>
      <w:tabs>
        <w:tab w:val="clear" w:pos="2160"/>
        <w:tab w:val="left" w:pos="284"/>
      </w:tabs>
      <w:spacing w:before="120" w:after="60"/>
      <w:ind w:firstLine="0"/>
      <w:jc w:val="left"/>
    </w:pPr>
    <w:rPr>
      <w:rFonts w:eastAsia="MS Mincho"/>
    </w:rPr>
  </w:style>
  <w:style w:type="paragraph" w:customStyle="1" w:styleId="ETASRHeading5">
    <w:name w:val="ETASR Heading 5"/>
    <w:basedOn w:val="Heading5"/>
    <w:link w:val="ETASRHeading5Char"/>
    <w:qFormat/>
    <w:rsid w:val="00ED27FD"/>
    <w:rPr>
      <w:rFonts w:eastAsia="MS Mincho"/>
    </w:rPr>
  </w:style>
  <w:style w:type="character" w:customStyle="1" w:styleId="Heading5Char">
    <w:name w:val="Heading 5 Char"/>
    <w:link w:val="Heading5"/>
    <w:rsid w:val="00ED27FD"/>
    <w:rPr>
      <w:rFonts w:eastAsia="SimSun"/>
      <w:smallCaps/>
      <w:noProof/>
      <w:lang w:val="en-US" w:eastAsia="en-US" w:bidi="ar-SA"/>
    </w:rPr>
  </w:style>
  <w:style w:type="character" w:customStyle="1" w:styleId="ETASRHeading5Char">
    <w:name w:val="ETASR Heading 5 Char"/>
    <w:link w:val="ETASRHeading5"/>
    <w:rsid w:val="00ED27FD"/>
    <w:rPr>
      <w:rFonts w:eastAsia="MS Mincho"/>
      <w:smallCaps/>
      <w:noProof/>
      <w:lang w:val="en-US" w:eastAsia="en-US" w:bidi="ar-SA"/>
    </w:rPr>
  </w:style>
  <w:style w:type="character" w:customStyle="1" w:styleId="Heading3Char">
    <w:name w:val="Heading 3 Char"/>
    <w:link w:val="Heading3"/>
    <w:rsid w:val="007B0292"/>
    <w:rPr>
      <w:i/>
      <w:iCs/>
      <w:noProof/>
      <w:lang w:val="en-US" w:eastAsia="en-US"/>
    </w:rPr>
  </w:style>
  <w:style w:type="paragraph" w:styleId="BodyText">
    <w:name w:val="Body Text"/>
    <w:basedOn w:val="Normal"/>
    <w:rsid w:val="001D0620"/>
    <w:pPr>
      <w:spacing w:after="120" w:line="228" w:lineRule="auto"/>
      <w:ind w:firstLine="288"/>
      <w:jc w:val="both"/>
    </w:pPr>
    <w:rPr>
      <w:spacing w:val="-1"/>
    </w:rPr>
  </w:style>
  <w:style w:type="paragraph" w:customStyle="1" w:styleId="figurecaption">
    <w:name w:val="figure caption"/>
    <w:rsid w:val="001D0620"/>
    <w:pPr>
      <w:tabs>
        <w:tab w:val="num" w:pos="720"/>
      </w:tabs>
      <w:spacing w:before="80" w:after="200"/>
      <w:jc w:val="center"/>
    </w:pPr>
    <w:rPr>
      <w:noProof/>
      <w:sz w:val="16"/>
      <w:szCs w:val="16"/>
      <w:lang w:val="en-US" w:eastAsia="en-US"/>
    </w:rPr>
  </w:style>
  <w:style w:type="paragraph" w:customStyle="1" w:styleId="tablefootnote">
    <w:name w:val="table footnote"/>
    <w:rsid w:val="001D0620"/>
    <w:pPr>
      <w:spacing w:before="60" w:after="30"/>
      <w:jc w:val="right"/>
    </w:pPr>
    <w:rPr>
      <w:sz w:val="12"/>
      <w:szCs w:val="12"/>
      <w:lang w:val="en-US" w:eastAsia="en-US"/>
    </w:rPr>
  </w:style>
  <w:style w:type="paragraph" w:customStyle="1" w:styleId="ETASRfigurecaption">
    <w:name w:val="ETASR figure caption"/>
    <w:basedOn w:val="figurecaption"/>
    <w:rsid w:val="001D0620"/>
    <w:pPr>
      <w:numPr>
        <w:numId w:val="2"/>
      </w:numPr>
    </w:pPr>
  </w:style>
  <w:style w:type="paragraph" w:customStyle="1" w:styleId="ETASRtablecolhead">
    <w:name w:val="ETASR table col head"/>
    <w:basedOn w:val="Normal"/>
    <w:rsid w:val="00302385"/>
    <w:rPr>
      <w:b/>
      <w:bCs/>
      <w:sz w:val="16"/>
      <w:szCs w:val="16"/>
    </w:rPr>
  </w:style>
  <w:style w:type="paragraph" w:styleId="Header">
    <w:name w:val="header"/>
    <w:basedOn w:val="Normal"/>
    <w:link w:val="HeaderChar"/>
    <w:uiPriority w:val="99"/>
    <w:rsid w:val="002B20B3"/>
    <w:pPr>
      <w:tabs>
        <w:tab w:val="center" w:pos="4320"/>
        <w:tab w:val="right" w:pos="8640"/>
      </w:tabs>
    </w:pPr>
  </w:style>
  <w:style w:type="paragraph" w:styleId="Footer">
    <w:name w:val="footer"/>
    <w:basedOn w:val="Normal"/>
    <w:link w:val="FooterChar"/>
    <w:rsid w:val="002B20B3"/>
    <w:pPr>
      <w:tabs>
        <w:tab w:val="center" w:pos="4320"/>
        <w:tab w:val="right" w:pos="8640"/>
      </w:tabs>
    </w:pPr>
  </w:style>
  <w:style w:type="table" w:styleId="TableGrid">
    <w:name w:val="Table Grid"/>
    <w:basedOn w:val="TableNormal"/>
    <w:uiPriority w:val="59"/>
    <w:rsid w:val="008A20E8"/>
    <w:pPr>
      <w:ind w:firstLine="198"/>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TASRbodytext">
    <w:name w:val="ETASR body text"/>
    <w:basedOn w:val="Normal"/>
    <w:qFormat/>
    <w:rsid w:val="00666BB2"/>
    <w:pPr>
      <w:spacing w:after="120" w:line="228" w:lineRule="auto"/>
      <w:ind w:firstLine="288"/>
      <w:jc w:val="both"/>
    </w:pPr>
    <w:rPr>
      <w:rFonts w:eastAsia="MS Mincho"/>
      <w:spacing w:val="-1"/>
    </w:rPr>
  </w:style>
  <w:style w:type="paragraph" w:customStyle="1" w:styleId="ETASRbulletlist">
    <w:name w:val="ETASR bullet list"/>
    <w:basedOn w:val="Normal"/>
    <w:qFormat/>
    <w:rsid w:val="001E4B70"/>
    <w:pPr>
      <w:numPr>
        <w:numId w:val="1"/>
      </w:numPr>
      <w:tabs>
        <w:tab w:val="clear" w:pos="648"/>
      </w:tabs>
      <w:spacing w:after="120" w:line="228" w:lineRule="auto"/>
      <w:ind w:left="284" w:hanging="284"/>
      <w:jc w:val="both"/>
    </w:pPr>
    <w:rPr>
      <w:rFonts w:eastAsia="MS Mincho"/>
      <w:spacing w:val="-1"/>
    </w:rPr>
  </w:style>
  <w:style w:type="paragraph" w:customStyle="1" w:styleId="ETASRreferences">
    <w:name w:val="ETASR references"/>
    <w:basedOn w:val="Normal"/>
    <w:qFormat/>
    <w:rsid w:val="00666BB2"/>
    <w:pPr>
      <w:numPr>
        <w:numId w:val="8"/>
      </w:numPr>
      <w:spacing w:after="50" w:line="180" w:lineRule="exact"/>
      <w:jc w:val="both"/>
    </w:pPr>
    <w:rPr>
      <w:rFonts w:eastAsia="MS Mincho"/>
      <w:noProof/>
      <w:sz w:val="16"/>
      <w:szCs w:val="16"/>
    </w:rPr>
  </w:style>
  <w:style w:type="character" w:customStyle="1" w:styleId="ETASRHeading3Char">
    <w:name w:val="ETASR Heading 3 Char"/>
    <w:link w:val="ETASRHeading3"/>
    <w:rsid w:val="00E6764E"/>
    <w:rPr>
      <w:rFonts w:eastAsia="MS Mincho"/>
      <w:i/>
      <w:iCs/>
      <w:noProof/>
      <w:lang w:val="en-US" w:eastAsia="en-US"/>
    </w:rPr>
  </w:style>
  <w:style w:type="character" w:styleId="PlaceholderText">
    <w:name w:val="Placeholder Text"/>
    <w:basedOn w:val="DefaultParagraphFont"/>
    <w:uiPriority w:val="99"/>
    <w:semiHidden/>
    <w:rsid w:val="005347B3"/>
    <w:rPr>
      <w:color w:val="808080"/>
    </w:rPr>
  </w:style>
  <w:style w:type="paragraph" w:customStyle="1" w:styleId="ETASRAbstract">
    <w:name w:val="ETASR Abstract"/>
    <w:basedOn w:val="Normal"/>
    <w:rsid w:val="00667E56"/>
    <w:pPr>
      <w:spacing w:after="200"/>
      <w:jc w:val="both"/>
    </w:pPr>
    <w:rPr>
      <w:rFonts w:eastAsia="MS Mincho"/>
      <w:b/>
      <w:bCs/>
      <w:sz w:val="18"/>
      <w:szCs w:val="18"/>
    </w:rPr>
  </w:style>
  <w:style w:type="paragraph" w:customStyle="1" w:styleId="ETASRpapertitle">
    <w:name w:val="ETASR paper title"/>
    <w:basedOn w:val="Normal"/>
    <w:rsid w:val="00666BB2"/>
    <w:pPr>
      <w:spacing w:after="120"/>
    </w:pPr>
    <w:rPr>
      <w:rFonts w:eastAsia="MS Mincho"/>
      <w:noProof/>
      <w:sz w:val="48"/>
      <w:szCs w:val="48"/>
    </w:rPr>
  </w:style>
  <w:style w:type="paragraph" w:customStyle="1" w:styleId="ETASRpapersubtitle">
    <w:name w:val="ETASR paper subtitle"/>
    <w:basedOn w:val="Normal"/>
    <w:rsid w:val="00666BB2"/>
    <w:pPr>
      <w:spacing w:after="120"/>
    </w:pPr>
    <w:rPr>
      <w:rFonts w:eastAsia="MS Mincho"/>
      <w:noProof/>
      <w:sz w:val="28"/>
      <w:szCs w:val="28"/>
    </w:rPr>
  </w:style>
  <w:style w:type="paragraph" w:customStyle="1" w:styleId="ETASRHeading4">
    <w:name w:val="ETASR Heading 4"/>
    <w:basedOn w:val="Heading4"/>
    <w:link w:val="ETASRHeading4Char"/>
    <w:rsid w:val="00622881"/>
    <w:rPr>
      <w:rFonts w:eastAsia="MS Mincho"/>
    </w:rPr>
  </w:style>
  <w:style w:type="character" w:customStyle="1" w:styleId="Heading4Char">
    <w:name w:val="Heading 4 Char"/>
    <w:link w:val="Heading4"/>
    <w:rsid w:val="00622881"/>
    <w:rPr>
      <w:i/>
      <w:iCs/>
      <w:noProof/>
      <w:lang w:val="en-US" w:eastAsia="en-US"/>
    </w:rPr>
  </w:style>
  <w:style w:type="character" w:customStyle="1" w:styleId="ETASRHeading4Char">
    <w:name w:val="ETASR Heading 4 Char"/>
    <w:link w:val="ETASRHeading4"/>
    <w:rsid w:val="00622881"/>
    <w:rPr>
      <w:rFonts w:eastAsia="MS Mincho"/>
      <w:i/>
      <w:iCs/>
      <w:noProof/>
      <w:lang w:val="en-US" w:eastAsia="en-US"/>
    </w:rPr>
  </w:style>
  <w:style w:type="paragraph" w:styleId="BalloonText">
    <w:name w:val="Balloon Text"/>
    <w:basedOn w:val="Normal"/>
    <w:link w:val="BalloonTextChar"/>
    <w:rsid w:val="005347B3"/>
    <w:rPr>
      <w:rFonts w:ascii="Tahoma" w:hAnsi="Tahoma" w:cs="Tahoma"/>
      <w:sz w:val="16"/>
      <w:szCs w:val="16"/>
    </w:rPr>
  </w:style>
  <w:style w:type="paragraph" w:customStyle="1" w:styleId="ETASRtablehead">
    <w:name w:val="ETASR table head"/>
    <w:basedOn w:val="Normal"/>
    <w:link w:val="ETASRtableheadChar"/>
    <w:autoRedefine/>
    <w:rsid w:val="00F22930"/>
    <w:pPr>
      <w:numPr>
        <w:numId w:val="9"/>
      </w:numPr>
      <w:spacing w:before="240" w:after="120" w:line="216" w:lineRule="auto"/>
    </w:pPr>
    <w:rPr>
      <w:smallCaps/>
      <w:noProof/>
      <w:sz w:val="16"/>
      <w:szCs w:val="16"/>
    </w:rPr>
  </w:style>
  <w:style w:type="paragraph" w:customStyle="1" w:styleId="ETASRtablecolsubhead">
    <w:name w:val="ETASR table col subhead"/>
    <w:basedOn w:val="Normal"/>
    <w:rsid w:val="00302385"/>
    <w:rPr>
      <w:b/>
      <w:bCs/>
      <w:i/>
      <w:iCs/>
      <w:sz w:val="15"/>
      <w:szCs w:val="15"/>
    </w:rPr>
  </w:style>
  <w:style w:type="paragraph" w:customStyle="1" w:styleId="ETASRtablecopy">
    <w:name w:val="ETASR table copy"/>
    <w:basedOn w:val="Normal"/>
    <w:rsid w:val="00302385"/>
    <w:pPr>
      <w:jc w:val="both"/>
    </w:pPr>
    <w:rPr>
      <w:noProof/>
      <w:sz w:val="16"/>
      <w:szCs w:val="16"/>
    </w:rPr>
  </w:style>
  <w:style w:type="paragraph" w:customStyle="1" w:styleId="ETASRtablefootnote063">
    <w:name w:val="ETASR table footnote + Αριστερά:  0.63 εκ."/>
    <w:basedOn w:val="Normal"/>
    <w:rsid w:val="00302385"/>
    <w:pPr>
      <w:spacing w:before="60" w:after="30"/>
      <w:ind w:left="360"/>
      <w:jc w:val="right"/>
    </w:pPr>
    <w:rPr>
      <w:rFonts w:eastAsia="MS Mincho"/>
      <w:sz w:val="12"/>
      <w:szCs w:val="12"/>
    </w:rPr>
  </w:style>
  <w:style w:type="character" w:customStyle="1" w:styleId="BalloonTextChar">
    <w:name w:val="Balloon Text Char"/>
    <w:basedOn w:val="DefaultParagraphFont"/>
    <w:link w:val="BalloonText"/>
    <w:rsid w:val="005347B3"/>
    <w:rPr>
      <w:rFonts w:ascii="Tahoma" w:hAnsi="Tahoma" w:cs="Tahoma"/>
      <w:sz w:val="16"/>
      <w:szCs w:val="16"/>
      <w:lang w:val="en-US" w:eastAsia="en-US"/>
    </w:rPr>
  </w:style>
  <w:style w:type="paragraph" w:customStyle="1" w:styleId="ETASRnumberedlist">
    <w:name w:val="ETASR numbered list"/>
    <w:basedOn w:val="Normal"/>
    <w:link w:val="ETASRnumberedlistChar"/>
    <w:autoRedefine/>
    <w:qFormat/>
    <w:rsid w:val="00A21539"/>
  </w:style>
  <w:style w:type="character" w:customStyle="1" w:styleId="ETASRnumberedlistChar">
    <w:name w:val="ETASR numbered list Char"/>
    <w:basedOn w:val="DefaultParagraphFont"/>
    <w:link w:val="ETASRnumberedlist"/>
    <w:rsid w:val="00A21539"/>
    <w:rPr>
      <w:lang w:val="en-US" w:eastAsia="en-US"/>
    </w:rPr>
  </w:style>
  <w:style w:type="paragraph" w:customStyle="1" w:styleId="ETASRTABLEHEAD0">
    <w:name w:val="ETASR TABLE HEAD"/>
    <w:basedOn w:val="ETASRtablehead"/>
    <w:next w:val="ETASRbodytext"/>
    <w:link w:val="ETASRTABLEHEADChar0"/>
    <w:autoRedefine/>
    <w:rsid w:val="00F22930"/>
  </w:style>
  <w:style w:type="character" w:customStyle="1" w:styleId="ETASRtableheadChar">
    <w:name w:val="ETASR table head Char"/>
    <w:basedOn w:val="DefaultParagraphFont"/>
    <w:link w:val="ETASRtablehead"/>
    <w:rsid w:val="00F22930"/>
    <w:rPr>
      <w:smallCaps/>
      <w:noProof/>
      <w:sz w:val="16"/>
      <w:szCs w:val="16"/>
      <w:lang w:val="en-US" w:eastAsia="en-US"/>
    </w:rPr>
  </w:style>
  <w:style w:type="character" w:customStyle="1" w:styleId="ETASRTABLEHEADChar0">
    <w:name w:val="ETASR TABLE HEAD Char"/>
    <w:basedOn w:val="ETASRtableheadChar"/>
    <w:link w:val="ETASRTABLEHEAD0"/>
    <w:rsid w:val="00F22930"/>
  </w:style>
  <w:style w:type="character" w:customStyle="1" w:styleId="FooterChar">
    <w:name w:val="Footer Char"/>
    <w:basedOn w:val="DefaultParagraphFont"/>
    <w:link w:val="Footer"/>
    <w:rsid w:val="00D07CB6"/>
    <w:rPr>
      <w:lang w:val="en-US" w:eastAsia="en-US"/>
    </w:rPr>
  </w:style>
  <w:style w:type="character" w:styleId="Hyperlink">
    <w:name w:val="Hyperlink"/>
    <w:basedOn w:val="DefaultParagraphFont"/>
    <w:uiPriority w:val="99"/>
    <w:unhideWhenUsed/>
    <w:rsid w:val="00D07CB6"/>
    <w:rPr>
      <w:color w:val="0000FF" w:themeColor="hyperlink"/>
      <w:u w:val="single"/>
    </w:rPr>
  </w:style>
  <w:style w:type="character" w:customStyle="1" w:styleId="HeaderChar">
    <w:name w:val="Header Char"/>
    <w:basedOn w:val="DefaultParagraphFont"/>
    <w:link w:val="Header"/>
    <w:uiPriority w:val="99"/>
    <w:rsid w:val="00A17932"/>
    <w:rPr>
      <w:lang w:val="en-US" w:eastAsia="en-US"/>
    </w:rPr>
  </w:style>
  <w:style w:type="paragraph" w:styleId="NoSpacing">
    <w:name w:val="No Spacing"/>
    <w:uiPriority w:val="1"/>
    <w:qFormat/>
    <w:rsid w:val="0079728D"/>
    <w:pPr>
      <w:spacing w:line="360" w:lineRule="auto"/>
    </w:pPr>
    <w:rPr>
      <w:rFonts w:asciiTheme="majorBidi" w:eastAsiaTheme="minorHAnsi" w:hAnsiTheme="majorBidi" w:cstheme="minorBidi"/>
      <w:b/>
      <w:sz w:val="26"/>
      <w:szCs w:val="22"/>
      <w:lang w:val="en-US" w:eastAsia="en-US"/>
    </w:rPr>
  </w:style>
</w:styles>
</file>

<file path=word/webSettings.xml><?xml version="1.0" encoding="utf-8"?>
<w:webSettings xmlns:r="http://schemas.openxmlformats.org/officeDocument/2006/relationships" xmlns:w="http://schemas.openxmlformats.org/wordprocessingml/2006/main">
  <w:divs>
    <w:div w:id="89176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kman.abdulkareem@uoz.edu.krd"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mailto:idris.majeed@yahoo.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ETASR_papers\templates\ETASRTEMPLATE_n_check_this.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1576;&#1581;&#1579;%20&#1605;&#1587;&#1578;&#1602;&#1604;\2nd%20Research\&#1575;&#1604;&#1576;&#1610;&#1575;&#1606;&#1575;&#157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6"/>
  <c:chart>
    <c:plotArea>
      <c:layout>
        <c:manualLayout>
          <c:layoutTarget val="inner"/>
          <c:xMode val="edge"/>
          <c:yMode val="edge"/>
          <c:x val="0.10534587930694039"/>
          <c:y val="2.2420623373534048E-2"/>
          <c:w val="0.86606213564820711"/>
          <c:h val="0.50020316392954456"/>
        </c:manualLayout>
      </c:layout>
      <c:barChart>
        <c:barDir val="col"/>
        <c:grouping val="percentStacked"/>
        <c:ser>
          <c:idx val="0"/>
          <c:order val="0"/>
          <c:tx>
            <c:strRef>
              <c:f>Chart!$C$1</c:f>
              <c:strCache>
                <c:ptCount val="1"/>
                <c:pt idx="0">
                  <c:v>Radon surface Formation [Bq/m3]</c:v>
                </c:pt>
              </c:strCache>
            </c:strRef>
          </c:tx>
          <c:cat>
            <c:strRef>
              <c:f>Chart!$B$2:$B$21</c:f>
              <c:strCache>
                <c:ptCount val="20"/>
                <c:pt idx="0">
                  <c:v>Jurbi formation &amp; Surface</c:v>
                </c:pt>
                <c:pt idx="1">
                  <c:v>Sludge after tretment &amp; 400</c:v>
                </c:pt>
                <c:pt idx="2">
                  <c:v>Soil before tretment &amp; 500</c:v>
                </c:pt>
                <c:pt idx="3">
                  <c:v>Lower Faris formation &amp; 600</c:v>
                </c:pt>
                <c:pt idx="4">
                  <c:v>Khormala Formation &amp; 700</c:v>
                </c:pt>
                <c:pt idx="5">
                  <c:v>Avana Formation &amp; 800</c:v>
                </c:pt>
                <c:pt idx="6">
                  <c:v>Waste Mud &amp; 900</c:v>
                </c:pt>
                <c:pt idx="7">
                  <c:v>Pelaspi formation &amp; 1000</c:v>
                </c:pt>
                <c:pt idx="8">
                  <c:v>Bakhtyari Formation &amp; 1100</c:v>
                </c:pt>
                <c:pt idx="9">
                  <c:v>Jurkes Formation &amp; 1200</c:v>
                </c:pt>
                <c:pt idx="10">
                  <c:v>Upper Faris Formation &amp; 1300</c:v>
                </c:pt>
                <c:pt idx="11">
                  <c:v>Qamchqa Formation &amp; 1400</c:v>
                </c:pt>
                <c:pt idx="12">
                  <c:v>sheranish Formation &amp; 1500</c:v>
                </c:pt>
                <c:pt idx="13">
                  <c:v>1600</c:v>
                </c:pt>
                <c:pt idx="14">
                  <c:v>1700</c:v>
                </c:pt>
                <c:pt idx="15">
                  <c:v>1800</c:v>
                </c:pt>
                <c:pt idx="16">
                  <c:v>1900</c:v>
                </c:pt>
                <c:pt idx="17">
                  <c:v>2000</c:v>
                </c:pt>
                <c:pt idx="18">
                  <c:v>2100</c:v>
                </c:pt>
                <c:pt idx="19">
                  <c:v>2200</c:v>
                </c:pt>
              </c:strCache>
            </c:strRef>
          </c:cat>
          <c:val>
            <c:numRef>
              <c:f>Chart!$C$2:$C$21</c:f>
              <c:numCache>
                <c:formatCode>[$-409]d/mmm/yy;@</c:formatCode>
                <c:ptCount val="20"/>
                <c:pt idx="0">
                  <c:v>16</c:v>
                </c:pt>
                <c:pt idx="1">
                  <c:v>16</c:v>
                </c:pt>
                <c:pt idx="2">
                  <c:v>66.5</c:v>
                </c:pt>
                <c:pt idx="3">
                  <c:v>33.25</c:v>
                </c:pt>
                <c:pt idx="4">
                  <c:v>137</c:v>
                </c:pt>
                <c:pt idx="5">
                  <c:v>39.5</c:v>
                </c:pt>
                <c:pt idx="6">
                  <c:v>80</c:v>
                </c:pt>
                <c:pt idx="7">
                  <c:v>47</c:v>
                </c:pt>
                <c:pt idx="8">
                  <c:v>31</c:v>
                </c:pt>
                <c:pt idx="9">
                  <c:v>55.5</c:v>
                </c:pt>
                <c:pt idx="10">
                  <c:v>57.5</c:v>
                </c:pt>
                <c:pt idx="11">
                  <c:v>123.25</c:v>
                </c:pt>
                <c:pt idx="12">
                  <c:v>59.349999999999994</c:v>
                </c:pt>
                <c:pt idx="13">
                  <c:v>0</c:v>
                </c:pt>
                <c:pt idx="14">
                  <c:v>0</c:v>
                </c:pt>
                <c:pt idx="15">
                  <c:v>0</c:v>
                </c:pt>
                <c:pt idx="16">
                  <c:v>0</c:v>
                </c:pt>
                <c:pt idx="17">
                  <c:v>0</c:v>
                </c:pt>
                <c:pt idx="18">
                  <c:v>0</c:v>
                </c:pt>
                <c:pt idx="19">
                  <c:v>0</c:v>
                </c:pt>
              </c:numCache>
            </c:numRef>
          </c:val>
        </c:ser>
        <c:ser>
          <c:idx val="1"/>
          <c:order val="1"/>
          <c:tx>
            <c:strRef>
              <c:f>Chart!$D$1</c:f>
              <c:strCache>
                <c:ptCount val="1"/>
                <c:pt idx="0">
                  <c:v>Radon depth well [Bq/m3]</c:v>
                </c:pt>
              </c:strCache>
            </c:strRef>
          </c:tx>
          <c:cat>
            <c:strRef>
              <c:f>Chart!$B$2:$B$21</c:f>
              <c:strCache>
                <c:ptCount val="20"/>
                <c:pt idx="0">
                  <c:v>Jurbi formation &amp; Surface</c:v>
                </c:pt>
                <c:pt idx="1">
                  <c:v>Sludge after tretment &amp; 400</c:v>
                </c:pt>
                <c:pt idx="2">
                  <c:v>Soil before tretment &amp; 500</c:v>
                </c:pt>
                <c:pt idx="3">
                  <c:v>Lower Faris formation &amp; 600</c:v>
                </c:pt>
                <c:pt idx="4">
                  <c:v>Khormala Formation &amp; 700</c:v>
                </c:pt>
                <c:pt idx="5">
                  <c:v>Avana Formation &amp; 800</c:v>
                </c:pt>
                <c:pt idx="6">
                  <c:v>Waste Mud &amp; 900</c:v>
                </c:pt>
                <c:pt idx="7">
                  <c:v>Pelaspi formation &amp; 1000</c:v>
                </c:pt>
                <c:pt idx="8">
                  <c:v>Bakhtyari Formation &amp; 1100</c:v>
                </c:pt>
                <c:pt idx="9">
                  <c:v>Jurkes Formation &amp; 1200</c:v>
                </c:pt>
                <c:pt idx="10">
                  <c:v>Upper Faris Formation &amp; 1300</c:v>
                </c:pt>
                <c:pt idx="11">
                  <c:v>Qamchqa Formation &amp; 1400</c:v>
                </c:pt>
                <c:pt idx="12">
                  <c:v>sheranish Formation &amp; 1500</c:v>
                </c:pt>
                <c:pt idx="13">
                  <c:v>1600</c:v>
                </c:pt>
                <c:pt idx="14">
                  <c:v>1700</c:v>
                </c:pt>
                <c:pt idx="15">
                  <c:v>1800</c:v>
                </c:pt>
                <c:pt idx="16">
                  <c:v>1900</c:v>
                </c:pt>
                <c:pt idx="17">
                  <c:v>2000</c:v>
                </c:pt>
                <c:pt idx="18">
                  <c:v>2100</c:v>
                </c:pt>
                <c:pt idx="19">
                  <c:v>2200</c:v>
                </c:pt>
              </c:strCache>
            </c:strRef>
          </c:cat>
          <c:val>
            <c:numRef>
              <c:f>Chart!$D$2:$D$21</c:f>
              <c:numCache>
                <c:formatCode>General</c:formatCode>
                <c:ptCount val="20"/>
                <c:pt idx="0">
                  <c:v>62</c:v>
                </c:pt>
                <c:pt idx="1">
                  <c:v>85.25</c:v>
                </c:pt>
                <c:pt idx="2">
                  <c:v>66.25</c:v>
                </c:pt>
                <c:pt idx="3">
                  <c:v>40.75</c:v>
                </c:pt>
                <c:pt idx="4">
                  <c:v>52.25</c:v>
                </c:pt>
                <c:pt idx="5">
                  <c:v>57.5</c:v>
                </c:pt>
                <c:pt idx="6">
                  <c:v>40</c:v>
                </c:pt>
                <c:pt idx="7">
                  <c:v>47</c:v>
                </c:pt>
                <c:pt idx="8">
                  <c:v>93.25</c:v>
                </c:pt>
                <c:pt idx="9">
                  <c:v>69</c:v>
                </c:pt>
                <c:pt idx="10">
                  <c:v>63.5</c:v>
                </c:pt>
                <c:pt idx="11">
                  <c:v>24</c:v>
                </c:pt>
                <c:pt idx="12">
                  <c:v>29</c:v>
                </c:pt>
                <c:pt idx="13">
                  <c:v>24.25</c:v>
                </c:pt>
                <c:pt idx="14">
                  <c:v>23.75</c:v>
                </c:pt>
                <c:pt idx="15">
                  <c:v>27.05</c:v>
                </c:pt>
                <c:pt idx="16">
                  <c:v>14.12</c:v>
                </c:pt>
                <c:pt idx="17">
                  <c:v>18.23</c:v>
                </c:pt>
                <c:pt idx="18">
                  <c:v>23</c:v>
                </c:pt>
                <c:pt idx="19">
                  <c:v>30.5</c:v>
                </c:pt>
              </c:numCache>
            </c:numRef>
          </c:val>
        </c:ser>
        <c:overlap val="100"/>
        <c:axId val="99117312"/>
        <c:axId val="99241344"/>
      </c:barChart>
      <c:catAx>
        <c:axId val="99117312"/>
        <c:scaling>
          <c:orientation val="minMax"/>
        </c:scaling>
        <c:axPos val="b"/>
        <c:title>
          <c:tx>
            <c:rich>
              <a:bodyPr/>
              <a:lstStyle/>
              <a:p>
                <a:pPr>
                  <a:defRPr/>
                </a:pPr>
                <a:r>
                  <a:rPr lang="en-US" sz="800" b="1"/>
                  <a:t>Formation and Depth</a:t>
                </a:r>
              </a:p>
            </c:rich>
          </c:tx>
          <c:layout>
            <c:manualLayout>
              <c:xMode val="edge"/>
              <c:yMode val="edge"/>
              <c:x val="0.6720988986973796"/>
              <c:y val="0.91287695646075562"/>
            </c:manualLayout>
          </c:layout>
        </c:title>
        <c:numFmt formatCode="[$-409]d/mmm/yy;@" sourceLinked="1"/>
        <c:tickLblPos val="nextTo"/>
        <c:txPr>
          <a:bodyPr rot="-5400000" vert="horz"/>
          <a:lstStyle/>
          <a:p>
            <a:pPr>
              <a:defRPr sz="800" baseline="0"/>
            </a:pPr>
            <a:endParaRPr lang="en-US"/>
          </a:p>
        </c:txPr>
        <c:crossAx val="99241344"/>
        <c:crosses val="autoZero"/>
        <c:auto val="1"/>
        <c:lblAlgn val="ctr"/>
        <c:lblOffset val="100"/>
      </c:catAx>
      <c:valAx>
        <c:axId val="99241344"/>
        <c:scaling>
          <c:orientation val="minMax"/>
        </c:scaling>
        <c:axPos val="l"/>
        <c:title>
          <c:tx>
            <c:rich>
              <a:bodyPr rot="-5400000" vert="horz"/>
              <a:lstStyle/>
              <a:p>
                <a:pPr>
                  <a:defRPr sz="800"/>
                </a:pPr>
                <a:r>
                  <a:rPr lang="en-US" sz="800"/>
                  <a:t>Radon concentration</a:t>
                </a:r>
              </a:p>
            </c:rich>
          </c:tx>
        </c:title>
        <c:numFmt formatCode="0%" sourceLinked="1"/>
        <c:tickLblPos val="nextTo"/>
        <c:txPr>
          <a:bodyPr/>
          <a:lstStyle/>
          <a:p>
            <a:pPr>
              <a:defRPr sz="900" baseline="0"/>
            </a:pPr>
            <a:endParaRPr lang="en-US"/>
          </a:p>
        </c:txPr>
        <c:crossAx val="99117312"/>
        <c:crosses val="autoZero"/>
        <c:crossBetween val="between"/>
      </c:valAx>
    </c:plotArea>
    <c:legend>
      <c:legendPos val="r"/>
      <c:layout>
        <c:manualLayout>
          <c:xMode val="edge"/>
          <c:yMode val="edge"/>
          <c:x val="0.69994239653542456"/>
          <c:y val="0.62648996304854065"/>
          <c:w val="0.26855963252734377"/>
          <c:h val="0.29324551777625596"/>
        </c:manualLayout>
      </c:layout>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BF147-2A0C-42E0-B1A6-778CC40A3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ETASRTEMPLATE_n_check_this</Template>
  <TotalTime>198</TotalTime>
  <Pages>5</Pages>
  <Words>9848</Words>
  <Characters>56138</Characters>
  <Application>Microsoft Office Word</Application>
  <DocSecurity>0</DocSecurity>
  <Lines>467</Lines>
  <Paragraphs>131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ETASR PAPER FORMAT</vt:lpstr>
      <vt:lpstr>ETASR PAPER FORMAT</vt:lpstr>
    </vt:vector>
  </TitlesOfParts>
  <Company>ETASR</Company>
  <LinksUpToDate>false</LinksUpToDate>
  <CharactersWithSpaces>65855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ETASR PAPER FORMAT</dc:title>
  <dc:subject/>
  <dc:creator>ETASR EDITOR</dc:creator>
  <cp:keywords/>
  <dc:description/>
  <cp:lastModifiedBy>idrees</cp:lastModifiedBy>
  <cp:revision>22</cp:revision>
  <dcterms:created xsi:type="dcterms:W3CDTF">2019-07-21T07:58:00Z</dcterms:created>
  <dcterms:modified xsi:type="dcterms:W3CDTF">2019-07-24T10:11:00Z</dcterms:modified>
</cp:coreProperties>
</file>